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2C3D73">
        <w:rPr>
          <w:rFonts w:ascii="Arial" w:eastAsia="Cambria" w:hAnsi="Arial" w:cs="Arial"/>
          <w:b/>
          <w:sz w:val="24"/>
          <w:szCs w:val="24"/>
        </w:rPr>
        <w:t>REVISTA URBE.FAUG.UDEC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2C3D73">
        <w:rPr>
          <w:rFonts w:ascii="Arial" w:eastAsia="Cambria" w:hAnsi="Arial" w:cs="Arial"/>
          <w:b/>
          <w:sz w:val="24"/>
          <w:szCs w:val="24"/>
        </w:rPr>
        <w:t>Sobre la revista:</w:t>
      </w:r>
    </w:p>
    <w:p w:rsidR="00661965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>La revist</w:t>
      </w:r>
      <w:r w:rsidR="00087FB8">
        <w:rPr>
          <w:rFonts w:ascii="Arial" w:eastAsia="Cambria" w:hAnsi="Arial" w:cs="Arial"/>
          <w:color w:val="000000"/>
          <w:sz w:val="24"/>
          <w:szCs w:val="24"/>
        </w:rPr>
        <w:t>a URBE ha tenido varias etapas, l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>a primera se i</w:t>
      </w:r>
      <w:r w:rsidR="00087FB8">
        <w:rPr>
          <w:rFonts w:ascii="Arial" w:eastAsia="Cambria" w:hAnsi="Arial" w:cs="Arial"/>
          <w:color w:val="000000"/>
          <w:sz w:val="24"/>
          <w:szCs w:val="24"/>
        </w:rPr>
        <w:t>nicia entre el año 1994 y 1996 y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se publicaron 4 números,</w:t>
      </w:r>
      <w:r w:rsidR="00087FB8">
        <w:rPr>
          <w:rFonts w:ascii="Arial" w:eastAsia="Cambria" w:hAnsi="Arial" w:cs="Arial"/>
          <w:color w:val="000000"/>
          <w:sz w:val="24"/>
          <w:szCs w:val="24"/>
        </w:rPr>
        <w:t xml:space="preserve"> ésta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se llamaba simplemente </w:t>
      </w:r>
      <w:r w:rsidRPr="002C3D73">
        <w:rPr>
          <w:rFonts w:ascii="Arial" w:eastAsia="Cambria" w:hAnsi="Arial" w:cs="Arial"/>
          <w:b/>
          <w:bCs/>
          <w:color w:val="000000"/>
          <w:sz w:val="24"/>
          <w:szCs w:val="24"/>
        </w:rPr>
        <w:t xml:space="preserve">URBE. 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En su inicio el principal interés fue analizar el campus de la Universidad de Concepción y su rol urbano. </w:t>
      </w:r>
    </w:p>
    <w:p w:rsidR="00661965" w:rsidRDefault="0066196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Una segunda etapa se inicia en 1998 y es en formato digital, ahí cambia su nombre a  </w:t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 xml:space="preserve">Boletín URBE, 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>e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n este perí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odo se publican 5 números, el último de ellos 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el año 2000.  En esta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661965" w:rsidRPr="002C3D73">
        <w:rPr>
          <w:rFonts w:ascii="Arial" w:eastAsia="Cambria" w:hAnsi="Arial" w:cs="Arial"/>
          <w:color w:val="000000"/>
          <w:sz w:val="24"/>
          <w:szCs w:val="24"/>
        </w:rPr>
        <w:t>etapa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los temas de la revista apuntan a analizar las problemáticas urbanas y arquitectónicas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,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 tomando como principal caso de estudio la ciudad de Concepción y el territorio metropolitano en la cual ésta se emplaza, con especial énfasis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,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en un comienzo,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en el rol urbano de la universidad y su campus. </w:t>
      </w:r>
    </w:p>
    <w:p w:rsidR="00102F12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>En resumen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,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la revista ha tenido dos etapas y nueve publicaciones en total. 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 xml:space="preserve">Es en este contexto, que la 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nueva etapa de la Revista busca reactivar esta importante iniciativa bajo el nombre de </w:t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REVISTA URBE: Arquitectura, ciudad y territorio.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El objetivo es recoger la esencia de los inicios de la revista, destacando el interés por las diversas escalas del proyecto urbano: arquitectura, ciudad y  territorio. Todo ello</w:t>
      </w:r>
      <w:r w:rsidR="00661965">
        <w:rPr>
          <w:rFonts w:ascii="Arial" w:eastAsia="Cambria" w:hAnsi="Arial" w:cs="Arial"/>
          <w:color w:val="000000"/>
          <w:sz w:val="24"/>
          <w:szCs w:val="24"/>
        </w:rPr>
        <w:t>,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ajustándose a los altos estándares que requiere una publicación científica. 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 xml:space="preserve">Instrucciones a los autores </w:t>
      </w:r>
    </w:p>
    <w:p w:rsidR="00A04C55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E668D">
        <w:rPr>
          <w:rFonts w:ascii="Arial" w:eastAsia="Cambria" w:hAnsi="Arial" w:cs="Arial"/>
          <w:b/>
          <w:color w:val="000000"/>
          <w:sz w:val="24"/>
          <w:szCs w:val="24"/>
        </w:rPr>
        <w:t>Revista URBE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recibe artículos que se ajusten a las temáticas de interés de la </w:t>
      </w:r>
      <w:r w:rsidR="00CE668D">
        <w:rPr>
          <w:rFonts w:ascii="Arial" w:eastAsia="Cambria" w:hAnsi="Arial" w:cs="Arial"/>
          <w:color w:val="000000"/>
          <w:sz w:val="24"/>
          <w:szCs w:val="24"/>
        </w:rPr>
        <w:t>publicación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. </w:t>
      </w:r>
      <w:r w:rsidRPr="002C3D73">
        <w:rPr>
          <w:rFonts w:ascii="Arial" w:hAnsi="Arial" w:cs="Arial"/>
          <w:color w:val="000000"/>
          <w:sz w:val="24"/>
          <w:szCs w:val="24"/>
        </w:rPr>
        <w:t xml:space="preserve">El envío de los artículos será a través del correo electrónico, a la siguiente dirección: </w:t>
      </w:r>
      <w:r w:rsidRPr="002C3D73">
        <w:rPr>
          <w:rFonts w:ascii="Arial" w:hAnsi="Arial" w:cs="Arial"/>
          <w:color w:val="000000"/>
          <w:sz w:val="24"/>
          <w:szCs w:val="24"/>
          <w:lang w:val="es-ES"/>
        </w:rPr>
        <w:t>revistaurbe@udec.cl</w:t>
      </w:r>
      <w:r w:rsidRPr="002C3D73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CE668D" w:rsidRPr="002C3D73" w:rsidRDefault="00CE668D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1. </w:t>
      </w: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Artículo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La propuesta del artículo deberá contener entre 3 mil y 4 mil palabras como máximo, incluyendo notas de pie, resumen, palabras claves y referencias bibliográficas.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El documento debe estar debidamente estructurado y con una redacción legible. 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Los textos deberán entregarse en formato Word, tamaño carta y con tipografía Arial 11 pts., con un interlineado de 1,15. 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El archivo deberá llamarse artículo </w:t>
      </w:r>
      <w:proofErr w:type="spellStart"/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URBEFaug</w:t>
      </w:r>
      <w:proofErr w:type="spellEnd"/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 y no pesar más de 8 MB.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La primera página del documento debe incluir el título del artículo en español e inglés, el resumen en español e inglés (entre 150 y 300 palabras) y las palabras clave en español e inglés (3 a 5 palabras claves separadas por punto y coma y ordenadas alfabéticamente)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Las notas de pie deben ser las imprescindibles, situarse al final de cada página y no contener referencias bibliográficas.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Existirán dos niveles de jerarquización de subtítulos: uno en negrita minúscula y otro en cursiva no negrita (ambos no deben ser numerados). En caso de anglicismos o palabras en otro idioma, distinto al original del manuscrito, se debe utilizar cursiva. Respecto de las siglas, debe indicarse la equivalencia completa en su primer uso. </w:t>
      </w:r>
    </w:p>
    <w:p w:rsidR="00CE668D" w:rsidRDefault="00CE668D" w:rsidP="002C3D73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RESUMEN: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El artículo incluirá un resumen con una extensión máxima de media cuartilla de contenido descrito con un máximo de 150 palabras en letra Arial o Times New </w:t>
      </w:r>
      <w:proofErr w:type="spellStart"/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Roman</w:t>
      </w:r>
      <w:proofErr w:type="spellEnd"/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de 10 puntos, redactado en tercera persona y en tiempo presente.</w:t>
      </w:r>
    </w:p>
    <w:p w:rsidR="00A04C55" w:rsidRPr="002C3D73" w:rsidRDefault="00102F12" w:rsidP="002C3D73">
      <w:pPr>
        <w:numPr>
          <w:ilvl w:val="0"/>
          <w:numId w:val="1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El resumen debe sintetizar los objetivos del trabajo, la metodología y las conclusiones más importantes.</w:t>
      </w: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00"/>
        </w:rPr>
        <w:br/>
      </w: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2.  Figuras y Tablas 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El documento puede incluir figuras y/o tablas. En total el artículo pueden presentar como máximo 10 de éstas.</w:t>
      </w: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lastRenderedPageBreak/>
        <w:t xml:space="preserve">Las figuras comprenden imágenes, fotografías, planos y gráficos que deben enviarse por separado en formato JPG o TIFF, con un tamaño mínimo de 20 cm x 30 cm y una resolución de 300 dpi. </w:t>
      </w: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Los planos deberán entregarse adicionalmente en formato EPS o AI. Las tablas deben enviarse en formato Excel. </w:t>
      </w: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Las figuras y tablas deben encabezarse con la expresión “Figura” o “Tabla” y deben ser enumeradas correlativamente con cifras arábigas y deberá aludirse a ellas explícitamente en el texto (Figura X) (Tabla X). </w:t>
      </w: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Figuras y tablas deben incluir las unidades de medición</w:t>
      </w: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título y las fuentes completas correspondientes.</w:t>
      </w: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A04C55" w:rsidRPr="002C3D73" w:rsidRDefault="00102F12" w:rsidP="002C3D73">
      <w:pPr>
        <w:numPr>
          <w:ilvl w:val="0"/>
          <w:numId w:val="2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Las fuentes de las figuras o tablas serán definidas según la Norma APA, para ello se debe adjuntar la información correspondiente de acuerdo con los siguientes criterios: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numPr>
          <w:ilvl w:val="0"/>
          <w:numId w:val="3"/>
        </w:numPr>
        <w:spacing w:after="0" w:line="360" w:lineRule="auto"/>
        <w:ind w:left="1443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Para figuras o tablas provenientes de registros documentales se debe incluir: autor, año de publicación, nombre de la publicación, ciudad y editorial y la página donde se encuentra la imagen. Si la fuente es electrónica, agregar además la dirección web exacta.</w:t>
      </w:r>
    </w:p>
    <w:p w:rsidR="00A04C55" w:rsidRPr="002C3D73" w:rsidRDefault="00102F12" w:rsidP="002C3D73">
      <w:pPr>
        <w:numPr>
          <w:ilvl w:val="0"/>
          <w:numId w:val="3"/>
        </w:numPr>
        <w:spacing w:after="0" w:line="360" w:lineRule="auto"/>
        <w:ind w:left="1443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Para fotografías: nombre del autor de la fotografía o el banco de fotos de donde se obtuvo.</w:t>
      </w:r>
    </w:p>
    <w:p w:rsidR="00A04C55" w:rsidRPr="002C3D73" w:rsidRDefault="00102F12" w:rsidP="002C3D73">
      <w:pPr>
        <w:numPr>
          <w:ilvl w:val="0"/>
          <w:numId w:val="3"/>
        </w:numPr>
        <w:spacing w:after="0" w:line="360" w:lineRule="auto"/>
        <w:ind w:left="1443" w:hanging="358"/>
        <w:jc w:val="both"/>
        <w:rPr>
          <w:rFonts w:ascii="Arial" w:eastAsia="Cambria" w:hAnsi="Arial" w:cs="Arial"/>
          <w:sz w:val="24"/>
          <w:szCs w:val="24"/>
          <w:highlight w:val="yellow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Para obras de arte: nombre del autor, año, nombre de la obra, tipo de obra, 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>ciudad, museo o colección.</w:t>
      </w:r>
    </w:p>
    <w:p w:rsidR="00A04C55" w:rsidRPr="002C3D73" w:rsidRDefault="00102F12" w:rsidP="002C3D73">
      <w:pPr>
        <w:numPr>
          <w:ilvl w:val="0"/>
          <w:numId w:val="3"/>
        </w:numPr>
        <w:spacing w:after="0" w:line="360" w:lineRule="auto"/>
        <w:ind w:left="1443" w:hanging="358"/>
        <w:jc w:val="both"/>
        <w:rPr>
          <w:rFonts w:ascii="Arial" w:eastAsia="Cambria" w:hAnsi="Arial" w:cs="Arial"/>
          <w:sz w:val="24"/>
          <w:szCs w:val="24"/>
          <w:highlight w:val="yellow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En el caso de hacer uso de imágenes y documentos que aparezcan en prensa deben incorporar: autor y título de la nota (si corresponde), medio de </w:t>
      </w: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comunicación (diario o revista), sección, fecha y página. En el caso de haber sido obtenida de una versión online, adjuntar, además, la dirección web exacta.</w:t>
      </w:r>
    </w:p>
    <w:p w:rsidR="00A04C55" w:rsidRPr="002C3D73" w:rsidRDefault="00102F12" w:rsidP="002C3D73">
      <w:pPr>
        <w:numPr>
          <w:ilvl w:val="0"/>
          <w:numId w:val="3"/>
        </w:numPr>
        <w:spacing w:after="0" w:line="360" w:lineRule="auto"/>
        <w:ind w:left="1443" w:hanging="358"/>
        <w:jc w:val="both"/>
        <w:rPr>
          <w:rFonts w:ascii="Arial" w:eastAsia="Cambria" w:hAnsi="Arial" w:cs="Arial"/>
          <w:sz w:val="24"/>
          <w:szCs w:val="24"/>
          <w:highlight w:val="yellow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Para figuras (gráficos, mapas, planos, simulaciones, collages, etc.) y tablas elaboradas por los autores se debe consignar como elaboración propia.</w:t>
      </w: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 </w:t>
      </w:r>
    </w:p>
    <w:p w:rsidR="00A04C55" w:rsidRPr="002C3D73" w:rsidRDefault="00102F12" w:rsidP="002C3D73">
      <w:pPr>
        <w:numPr>
          <w:ilvl w:val="0"/>
          <w:numId w:val="4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lastRenderedPageBreak/>
        <w:t xml:space="preserve">Las figuras y tablas deben contar con la autorización respectiva para ser publicadas. El área de publicaciones de la Faug </w:t>
      </w:r>
      <w:r w:rsidR="0095077B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NO se responsabiliza por los derechos intelectuales de estas. </w:t>
      </w:r>
    </w:p>
    <w:p w:rsidR="00A04C55" w:rsidRPr="002C3D73" w:rsidRDefault="00102F12" w:rsidP="002C3D73">
      <w:pPr>
        <w:numPr>
          <w:ilvl w:val="0"/>
          <w:numId w:val="4"/>
        </w:numPr>
        <w:spacing w:after="0" w:line="360" w:lineRule="auto"/>
        <w:ind w:left="721" w:hanging="358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Figuras y tablas deberán enviarse insertas en el manuscrito (en baja resolución) y de forma separada según el formato indicado. Los archivos deberán llamarse "Figura 1", "Figura 2", etc. y "Tabla 1", "Tabla 2", etc., según corresponda. El peso máximo de cada archivo es de 8 MB.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Citas</w:t>
      </w:r>
    </w:p>
    <w:p w:rsidR="0095077B" w:rsidRPr="002C3D73" w:rsidRDefault="0095077B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Pr="0095077B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95077B">
        <w:rPr>
          <w:rFonts w:ascii="Arial" w:eastAsia="Cambria" w:hAnsi="Arial" w:cs="Arial"/>
          <w:color w:val="000000"/>
          <w:sz w:val="24"/>
          <w:szCs w:val="24"/>
        </w:rPr>
        <w:t xml:space="preserve">Las citas y referencias bibliográficas se harán según las normas APA (American </w:t>
      </w:r>
      <w:proofErr w:type="spellStart"/>
      <w:r w:rsidRPr="0095077B">
        <w:rPr>
          <w:rFonts w:ascii="Arial" w:eastAsia="Cambria" w:hAnsi="Arial" w:cs="Arial"/>
          <w:color w:val="000000"/>
          <w:sz w:val="24"/>
          <w:szCs w:val="24"/>
        </w:rPr>
        <w:t>Psychological</w:t>
      </w:r>
      <w:proofErr w:type="spellEnd"/>
      <w:r w:rsidRPr="0095077B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95077B">
        <w:rPr>
          <w:rFonts w:ascii="Arial" w:eastAsia="Cambria" w:hAnsi="Arial" w:cs="Arial"/>
          <w:color w:val="000000"/>
          <w:sz w:val="24"/>
          <w:szCs w:val="24"/>
        </w:rPr>
        <w:t>Association</w:t>
      </w:r>
      <w:proofErr w:type="spellEnd"/>
      <w:r w:rsidRPr="0095077B">
        <w:rPr>
          <w:rFonts w:ascii="Arial" w:eastAsia="Cambria" w:hAnsi="Arial" w:cs="Arial"/>
          <w:color w:val="000000"/>
          <w:sz w:val="24"/>
          <w:szCs w:val="24"/>
        </w:rPr>
        <w:t xml:space="preserve">). Las referencias bibliográficas se incorporarán al final del artículo, ordenadas alfabéticamente. En el caso de haber más de una referencia por autor estas deberán ordenarse cronológicamente desde más antigua a la más reciente. </w:t>
      </w:r>
    </w:p>
    <w:p w:rsidR="0095077B" w:rsidRPr="002C3D73" w:rsidRDefault="0095077B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En el caso de las citas textuales debe indicarse entre paréntesis el autor, año y página(s) de la cita, por ejemplo: (Guerrero, 2016, p. 356). Todas las citas textuales deben estar entrecomilladas.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>El formato para las citas de referencia en el texto es el siguiente:</w:t>
      </w:r>
    </w:p>
    <w:p w:rsidR="0095077B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>- Pérez (2014) comparó los territorios</w:t>
      </w:r>
      <w:proofErr w:type="gramStart"/>
      <w:r w:rsidRPr="002C3D73">
        <w:rPr>
          <w:rFonts w:ascii="Arial" w:eastAsia="Cambria" w:hAnsi="Arial" w:cs="Arial"/>
          <w:color w:val="000000"/>
          <w:shd w:val="clear" w:color="auto" w:fill="FFFFFF"/>
        </w:rPr>
        <w:t>..</w:t>
      </w:r>
      <w:proofErr w:type="gramEnd"/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 xml:space="preserve">En una reciente estudio de comparación de </w:t>
      </w:r>
      <w:proofErr w:type="gramStart"/>
      <w:r w:rsidRPr="002C3D73">
        <w:rPr>
          <w:rFonts w:ascii="Arial" w:eastAsia="Cambria" w:hAnsi="Arial" w:cs="Arial"/>
          <w:color w:val="000000"/>
          <w:shd w:val="clear" w:color="auto" w:fill="FFFFFF"/>
        </w:rPr>
        <w:t>recorridos(</w:t>
      </w:r>
      <w:proofErr w:type="gramEnd"/>
      <w:r w:rsidRPr="002C3D73">
        <w:rPr>
          <w:rFonts w:ascii="Arial" w:eastAsia="Cambria" w:hAnsi="Arial" w:cs="Arial"/>
          <w:color w:val="000000"/>
          <w:shd w:val="clear" w:color="auto" w:fill="FFFFFF"/>
        </w:rPr>
        <w:t>Vidal, 2015)…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>-  Pérez y Guerrero (2010) analizan las obras…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>El análisis de obras (Alarcón y Pérez, 2014)…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 xml:space="preserve">- </w:t>
      </w:r>
      <w:proofErr w:type="gramStart"/>
      <w:r w:rsidRPr="002C3D73">
        <w:rPr>
          <w:rFonts w:ascii="Arial" w:eastAsia="Cambria" w:hAnsi="Arial" w:cs="Arial"/>
          <w:color w:val="000000"/>
          <w:shd w:val="clear" w:color="auto" w:fill="FFFFFF"/>
        </w:rPr>
        <w:t>González(</w:t>
      </w:r>
      <w:proofErr w:type="gramEnd"/>
      <w:r w:rsidRPr="002C3D73">
        <w:rPr>
          <w:rFonts w:ascii="Arial" w:eastAsia="Cambria" w:hAnsi="Arial" w:cs="Arial"/>
          <w:color w:val="000000"/>
          <w:shd w:val="clear" w:color="auto" w:fill="FFFFFF"/>
        </w:rPr>
        <w:t>2012) y Cáceres (2018) identifican barrios…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 xml:space="preserve">La identificación de </w:t>
      </w:r>
      <w:proofErr w:type="gramStart"/>
      <w:r w:rsidRPr="002C3D73">
        <w:rPr>
          <w:rFonts w:ascii="Arial" w:eastAsia="Cambria" w:hAnsi="Arial" w:cs="Arial"/>
          <w:color w:val="000000"/>
          <w:shd w:val="clear" w:color="auto" w:fill="FFFFFF"/>
        </w:rPr>
        <w:t>condominios(</w:t>
      </w:r>
      <w:proofErr w:type="gramEnd"/>
      <w:r w:rsidRPr="002C3D73">
        <w:rPr>
          <w:rFonts w:ascii="Arial" w:eastAsia="Cambria" w:hAnsi="Arial" w:cs="Arial"/>
          <w:color w:val="000000"/>
          <w:shd w:val="clear" w:color="auto" w:fill="FFFFFF"/>
        </w:rPr>
        <w:t>Garrido, 2010; González 2008)…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</w:p>
    <w:p w:rsidR="0095077B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lastRenderedPageBreak/>
        <w:br/>
      </w:r>
      <w:r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Referencias bibliográficas</w:t>
      </w:r>
    </w:p>
    <w:p w:rsidR="0095077B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Libro: 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>- Guerrero, P. (2010). </w:t>
      </w:r>
      <w:r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>La vida en la ciudad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. Santiago: Editorial </w:t>
      </w:r>
      <w:proofErr w:type="spellStart"/>
      <w:r w:rsidRPr="002C3D73">
        <w:rPr>
          <w:rFonts w:ascii="Arial" w:eastAsia="Cambria" w:hAnsi="Arial" w:cs="Arial"/>
          <w:color w:val="000000"/>
          <w:shd w:val="clear" w:color="auto" w:fill="FFFFFF"/>
        </w:rPr>
        <w:t>Nascimento</w:t>
      </w:r>
      <w:proofErr w:type="spellEnd"/>
      <w:r w:rsidRPr="002C3D73">
        <w:rPr>
          <w:rFonts w:ascii="Arial" w:eastAsia="Cambria" w:hAnsi="Arial" w:cs="Arial"/>
          <w:color w:val="000000"/>
          <w:shd w:val="clear" w:color="auto" w:fill="FFFFFF"/>
        </w:rPr>
        <w:t>.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br/>
        <w:t>- Ramírez, S., Barahona, L. &amp; (2008).</w:t>
      </w:r>
      <w:r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 xml:space="preserve"> Las problemáticas del crecimiento urbano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t>. México. Fondo de Cultura.</w:t>
      </w:r>
    </w:p>
    <w:p w:rsidR="0095077B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Capítulo de libro: </w:t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- Guerrero R. (2008). Percepciones de inseguridad en el Santiago de Chile. En S. Rodríguez (Ed.), Las metrópolis en América Latina </w:t>
      </w:r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>(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pp. 2o8–227). Buenos Aires: Catálogos.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Revista: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  <w:t>- Pérez J. &amp; Simón, A. (2015). Conflictos por agua en el sur de Chile</w:t>
      </w:r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 xml:space="preserve"> 3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(2), 01–15. 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  <w:t>http://dx.doi.org/10.15640/ijaah.v3n2a1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Referencia electrónica:</w:t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>
        <w:rPr>
          <w:rFonts w:ascii="Arial" w:eastAsia="Cambria" w:hAnsi="Arial" w:cs="Arial"/>
          <w:color w:val="000000"/>
          <w:shd w:val="clear" w:color="auto" w:fill="FFFFFF"/>
        </w:rPr>
        <w:t>-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Gallardo Frías, L., Toledo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Jofré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, M., Figueroa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Garavagno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, C., Vera Bravo, J., &amp; Pérez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Huenupi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, L. (2019). Centro Nacional Arte Contemporáneo Cerrillos (CNACC): motor de transformación de la ciudad de Santiago. </w:t>
      </w:r>
      <w:r w:rsidR="00102F12" w:rsidRPr="002C3D73">
        <w:rPr>
          <w:rStyle w:val="Destacado"/>
          <w:rFonts w:ascii="Arial" w:eastAsia="Cambria" w:hAnsi="Arial" w:cs="Arial"/>
          <w:color w:val="000000"/>
          <w:shd w:val="clear" w:color="auto" w:fill="FFFFFF"/>
        </w:rPr>
        <w:t>Revista de Urbanismo, 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(40). doi:10.5354/0717-5051.2019.52362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Película: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  <w:t>- Larraín, J. de D. (Productor) y Larraín, P. (Director). (2014). </w:t>
      </w:r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>El club</w:t>
      </w:r>
      <w:r>
        <w:rPr>
          <w:rFonts w:ascii="Arial" w:eastAsia="Cambria" w:hAnsi="Arial" w:cs="Arial"/>
          <w:color w:val="000000"/>
          <w:shd w:val="clear" w:color="auto" w:fill="FFFFFF"/>
        </w:rPr>
        <w:t xml:space="preserve"> [Película]. Chile: Fábula. </w:t>
      </w: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</w:p>
    <w:p w:rsidR="0095077B" w:rsidRDefault="00102F12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Informe institucional:</w:t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- Organización de las Naciones Unidas para la Educación, la Ciencia y la Cultura. (2003). </w:t>
      </w:r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>Convención para la salvaguardia del patrimonio cultural inmaterial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 [Aprobada por la Conferencia General de la Unesco el 17-10-2003].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lastRenderedPageBreak/>
        <w:t>Recuperada de http://www.unesco.org/culture/ich/index.php?lg=es&amp;pg=00006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Tesis publicada en internet:</w:t>
      </w:r>
    </w:p>
    <w:p w:rsidR="0095077B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eastAsia="Cambria" w:hAnsi="Arial" w:cs="Arial"/>
          <w:color w:val="000000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-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Carlbom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, P. (2000). </w:t>
      </w:r>
      <w:proofErr w:type="spellStart"/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  <w:lang w:val="en-US"/>
        </w:rPr>
        <w:t>Carbody</w:t>
      </w:r>
      <w:proofErr w:type="spellEnd"/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  <w:lang w:val="en-US"/>
        </w:rPr>
        <w:t xml:space="preserve"> and passengers in rail vehicle dynamics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> (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>Tesis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 xml:space="preserve"> doctoral, Royal Institute of Technology,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>Estocolmo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>Suecia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  <w:lang w:val="en-US"/>
        </w:rPr>
        <w:t xml:space="preserve">).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Recuperada de http://urn.kb.se/resolve?urn=urn:nbn:se:kth:diva-3024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br/>
      </w:r>
      <w:r w:rsidR="00102F12" w:rsidRPr="002C3D73">
        <w:rPr>
          <w:rFonts w:ascii="Arial" w:eastAsia="Cambria" w:hAnsi="Arial" w:cs="Arial"/>
          <w:b/>
          <w:bCs/>
          <w:color w:val="000000"/>
          <w:shd w:val="clear" w:color="auto" w:fill="FFFFFF"/>
        </w:rPr>
        <w:t>Trabajo en congreso:</w:t>
      </w:r>
    </w:p>
    <w:p w:rsidR="00A04C55" w:rsidRPr="002C3D73" w:rsidRDefault="0095077B" w:rsidP="002C3D73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</w:rPr>
      </w:pPr>
      <w:r w:rsidRPr="002C3D73">
        <w:rPr>
          <w:rFonts w:ascii="Arial" w:eastAsia="Cambria" w:hAnsi="Arial" w:cs="Arial"/>
          <w:color w:val="000000"/>
          <w:shd w:val="clear" w:color="auto" w:fill="FFFFFF"/>
        </w:rPr>
        <w:t xml:space="preserve"> 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 xml:space="preserve">- </w:t>
      </w:r>
      <w:proofErr w:type="spellStart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Guarello</w:t>
      </w:r>
      <w:proofErr w:type="spellEnd"/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, F. (septiembre-octubre, 2016). </w:t>
      </w:r>
      <w:r w:rsidR="00102F12" w:rsidRPr="002C3D73">
        <w:rPr>
          <w:rFonts w:ascii="Arial" w:eastAsia="Cambria" w:hAnsi="Arial" w:cs="Arial"/>
          <w:i/>
          <w:iCs/>
          <w:color w:val="000000"/>
          <w:shd w:val="clear" w:color="auto" w:fill="FFFFFF"/>
        </w:rPr>
        <w:t>Presentación proyecto DOM en línea</w:t>
      </w:r>
      <w:r w:rsidR="00102F12" w:rsidRPr="002C3D73">
        <w:rPr>
          <w:rFonts w:ascii="Arial" w:eastAsia="Cambria" w:hAnsi="Arial" w:cs="Arial"/>
          <w:color w:val="000000"/>
          <w:shd w:val="clear" w:color="auto" w:fill="FFFFFF"/>
        </w:rPr>
        <w:t>. Trabajo presentado en el XXIV Congreso Nacional de Arquitectos: Identidad y Región, Villarrica, Chile.</w:t>
      </w:r>
    </w:p>
    <w:p w:rsidR="00A04C55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</w:p>
    <w:p w:rsidR="00A04C55" w:rsidRPr="002C3D73" w:rsidRDefault="00102F12" w:rsidP="002C3D73">
      <w:pPr>
        <w:keepNext/>
        <w:keepLines/>
        <w:spacing w:after="0" w:line="360" w:lineRule="auto"/>
        <w:ind w:right="240"/>
        <w:jc w:val="both"/>
        <w:rPr>
          <w:rFonts w:ascii="Arial" w:eastAsia="Cambria" w:hAnsi="Arial" w:cs="Arial"/>
          <w:b/>
          <w:caps/>
          <w:sz w:val="24"/>
          <w:szCs w:val="24"/>
          <w:highlight w:val="white"/>
          <w:u w:val="single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  <w:shd w:val="clear" w:color="auto" w:fill="FFFFFF"/>
        </w:rPr>
        <w:t>Proceso de Evaluación por pares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El comité de la revista URBE FAUG seleccionará los artículos mediante la revisión por pares. La recepción de artículos se realizará en los periodos definidos y establecidos según corresponda.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Una vez recibidos los artículos originales serán sometidos a una evaluación preliminar por parte del Comité Editorial, quienes determinarán la pertinencia temática y el cumplimiento con los estándares de calidad de la revista. 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El resultado de esta primera evaluación será comunicada a los autores vía correo electrónico y no será cuestionable.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Aquellos artículos que cumplen con los requisitos temáticos y formales serán sometidos a una revisión por pares doble y ciego. Tomando en cuenta el Formulario de Revisión de Artículos de la revista, los árbitros determinarán si el artículo es: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 Aceptado sin correcciones</w:t>
      </w:r>
    </w:p>
    <w:p w:rsidR="00A04C55" w:rsidRPr="002C3D73" w:rsidRDefault="00102F12" w:rsidP="002C3D73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 Aceptado con correcciones menores</w:t>
      </w:r>
    </w:p>
    <w:p w:rsidR="00A04C55" w:rsidRPr="002C3D73" w:rsidRDefault="00102F12" w:rsidP="002C3D73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Aceptado con correcciones mayores</w:t>
      </w:r>
    </w:p>
    <w:p w:rsidR="00A04C55" w:rsidRPr="002C3D73" w:rsidRDefault="00102F12" w:rsidP="002C3D73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 Rechazado, no publicable</w:t>
      </w:r>
    </w:p>
    <w:p w:rsidR="00A04C55" w:rsidRPr="002C3D73" w:rsidRDefault="00A04C55" w:rsidP="002C3D73">
      <w:pPr>
        <w:spacing w:after="0" w:line="360" w:lineRule="auto"/>
        <w:ind w:left="360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En caso de discrepancia entre los revisores el artículo será sometido a una siguiente instancia de revisión por un tercer árbitro o un miembro del comité editorial quien desempatará.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El plazo habitual establecido será informado según corresponda. El resultado de la revisión por pares será informado al autor vía correo electrónico y es inapelable.  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highlight w:val="white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>En caso que el artículo fuera publicable con observaciones el autor deberá enviar la versión corregida para una nueva evaluación en el plazo establecido. El artículo corregido será enviado a los mismos evaluadores, quienes verificarán la incorporación de las observaciones y recomendarán o no su publicación.</w:t>
      </w:r>
    </w:p>
    <w:p w:rsidR="00A04C55" w:rsidRPr="002C3D73" w:rsidRDefault="00A04C55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A04C55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Enfoque y Alcance</w:t>
      </w:r>
    </w:p>
    <w:p w:rsidR="0095077B" w:rsidRPr="002C3D73" w:rsidRDefault="0095077B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La </w:t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Revista URBE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Arquitectura, Ciudad y Territorio es una revista académica internacional de Arquitectura y Urbanismo, editada por la Facultad de Arquitectura, Urbanismo y Geografía de la Universidad de Concepción.</w:t>
      </w:r>
    </w:p>
    <w:p w:rsidR="00EA150B" w:rsidRPr="002C3D73" w:rsidRDefault="00EA150B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4C55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Revista URBE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pretende ser un espacio de reflexión y divulgación de investigaciones en el campo de la Arquitectura y el Urbanismo con espacial énfasis en trabajos críticos que analicen la  vinculación de lo arquitectónico y lo urbano en sus distintas escalas: barrio, ciudad, área metropolitana.</w:t>
      </w:r>
    </w:p>
    <w:p w:rsidR="00EA150B" w:rsidRPr="002C3D73" w:rsidRDefault="00EA150B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Siguiendo el espíritu que rige a nuestra universidad, </w:t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REVISTA  URBE</w:t>
      </w: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 pretende ser una plataforma de divulgación de conocimiento desde y hacia la región,  entregando análisis sobre la identidad local, regional y metropolitana, su patrimonio arquitectónico, cultural y urbano. </w:t>
      </w:r>
    </w:p>
    <w:p w:rsidR="0095077B" w:rsidRDefault="0095077B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95077B" w:rsidRDefault="0095077B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br/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Autores externos</w:t>
      </w:r>
    </w:p>
    <w:p w:rsidR="00A04C55" w:rsidRPr="002C3D73" w:rsidRDefault="00102F12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</w:rPr>
        <w:t xml:space="preserve">La revista se adscribe al criterio de que al menos el 50% de los trabajos publicados deben provenir de autores externos a la entidad editora y a sus cuerpos editoriales. </w:t>
      </w:r>
    </w:p>
    <w:p w:rsidR="00A04C55" w:rsidRPr="002C3D73" w:rsidRDefault="00102F12" w:rsidP="002C3D7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br/>
      </w:r>
      <w:r w:rsidRPr="002C3D73">
        <w:rPr>
          <w:rFonts w:ascii="Arial" w:eastAsia="Cambria" w:hAnsi="Arial" w:cs="Arial"/>
          <w:b/>
          <w:color w:val="000000"/>
          <w:sz w:val="24"/>
          <w:szCs w:val="24"/>
        </w:rPr>
        <w:t>Resumen</w:t>
      </w:r>
    </w:p>
    <w:p w:rsidR="00A04C55" w:rsidRDefault="00102F12" w:rsidP="002C3D73">
      <w:pPr>
        <w:spacing w:after="0" w:line="360" w:lineRule="auto"/>
        <w:jc w:val="both"/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</w:pPr>
      <w:r w:rsidRPr="002C3D73">
        <w:rPr>
          <w:rFonts w:ascii="Arial" w:eastAsia="Cambria" w:hAnsi="Arial" w:cs="Arial"/>
          <w:color w:val="000000"/>
          <w:sz w:val="24"/>
          <w:szCs w:val="24"/>
          <w:shd w:val="clear" w:color="auto" w:fill="FFFFFF"/>
        </w:rPr>
        <w:t xml:space="preserve">Todos los artículos originales y de revisión deberán ser acompañados de un resumen en el idioma original del trabajo. </w:t>
      </w:r>
    </w:p>
    <w:p w:rsidR="00EA150B" w:rsidRPr="002C3D73" w:rsidRDefault="00EA150B" w:rsidP="002C3D73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  <w:highlight w:val="white"/>
        </w:rPr>
      </w:pPr>
      <w:bookmarkStart w:id="0" w:name="_GoBack"/>
      <w:bookmarkEnd w:id="0"/>
    </w:p>
    <w:p w:rsidR="00A04C55" w:rsidRPr="002C3D73" w:rsidRDefault="00102F12" w:rsidP="002C3D73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C3D7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</w:rPr>
        <w:t>Lista de comprobación para la preparación de envíos</w:t>
      </w:r>
    </w:p>
    <w:p w:rsidR="00A04C55" w:rsidRPr="002C3D73" w:rsidRDefault="00102F12" w:rsidP="002C3D73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Como parte del proceso de envío, los autores/as están obligados a comprobar que su envío cumpla todos los elementos que se muestran a continuación. Se devolverán a los autores/as aquellos envíos que no cumplan estas directrices.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El envío no ha sido publicado previamente ni se ha enviado previamente a otra revista (o se ha proporcionado una explicación en Comentarios al / a la editor/a).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El fichero enviado está en formato Microsoft Word, RTF, o WordPerfect.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Se han añadido direcciones web para las referencias donde ha sido posible.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El texto tiene interlineado doble; el tamaño de fuente es </w:t>
      </w:r>
      <w:proofErr w:type="spellStart"/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arial</w:t>
      </w:r>
      <w:proofErr w:type="spellEnd"/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2C3D73">
        <w:rPr>
          <w:rFonts w:ascii="Arial" w:eastAsia="Cambria" w:hAnsi="Arial" w:cs="Arial"/>
          <w:color w:val="000000"/>
          <w:spacing w:val="8"/>
          <w:sz w:val="24"/>
          <w:szCs w:val="24"/>
          <w:shd w:val="clear" w:color="auto" w:fill="FFFFFF"/>
        </w:rPr>
        <w:t xml:space="preserve">11 pts., con un interlineado de 1,15. </w:t>
      </w: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se usa cursiva en vez de subrayado (exceptuando las direcciones URL); y todas las ilustraciones, figuras y tablas están dentro del texto en el sitio que les corresponde y no al final del todo.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D73">
        <w:rPr>
          <w:rFonts w:ascii="Arial" w:eastAsia="Cambria" w:hAnsi="Arial" w:cs="Arial"/>
          <w:sz w:val="24"/>
          <w:szCs w:val="24"/>
          <w:shd w:val="clear" w:color="auto" w:fill="FFFFFF"/>
        </w:rPr>
        <w:t xml:space="preserve">El archivo deberá llamarse artículo </w:t>
      </w:r>
      <w:proofErr w:type="spellStart"/>
      <w:r w:rsidRPr="002C3D73">
        <w:rPr>
          <w:rFonts w:ascii="Arial" w:eastAsia="Cambria" w:hAnsi="Arial" w:cs="Arial"/>
          <w:sz w:val="24"/>
          <w:szCs w:val="24"/>
          <w:shd w:val="clear" w:color="auto" w:fill="FFFFFF"/>
        </w:rPr>
        <w:t>URBEFaug</w:t>
      </w:r>
      <w:proofErr w:type="spellEnd"/>
      <w:r w:rsidRPr="002C3D73">
        <w:rPr>
          <w:rFonts w:ascii="Arial" w:eastAsia="Cambria" w:hAnsi="Arial" w:cs="Arial"/>
          <w:sz w:val="24"/>
          <w:szCs w:val="24"/>
          <w:shd w:val="clear" w:color="auto" w:fill="FFFFFF"/>
        </w:rPr>
        <w:t xml:space="preserve"> y no pesar más de 8 MB.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D73">
        <w:rPr>
          <w:rFonts w:ascii="Arial" w:eastAsia="Cambria" w:hAnsi="Arial" w:cs="Arial"/>
          <w:sz w:val="24"/>
          <w:szCs w:val="24"/>
          <w:shd w:val="clear" w:color="auto" w:fill="FFFFFF"/>
        </w:rPr>
        <w:t>La primera página del documento debe incluir el título del artículo en español e inglés, el resumen en español e inglés (entre 150 y 300 palabras) y las palabras clave en español e inglés (3 a 5 palabras claves separadas por punto y coma y ordenadas alfabéticamente)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D73">
        <w:rPr>
          <w:rFonts w:ascii="Arial" w:eastAsia="Cambria" w:hAnsi="Arial" w:cs="Arial"/>
          <w:color w:val="000000"/>
          <w:spacing w:val="8"/>
          <w:sz w:val="24"/>
          <w:szCs w:val="24"/>
          <w:shd w:val="clear" w:color="auto" w:fill="FFFFFF"/>
        </w:rPr>
        <w:lastRenderedPageBreak/>
        <w:t>Las notas de pie deben ser las imprescindibles, situarse al final de cada página y no contener referencias bibliográficas.</w:t>
      </w:r>
    </w:p>
    <w:p w:rsidR="00A04C55" w:rsidRPr="002C3D73" w:rsidRDefault="00102F12" w:rsidP="002C3D73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2C3D73">
        <w:rPr>
          <w:rFonts w:ascii="Arial" w:eastAsia="Times New Roman" w:hAnsi="Arial" w:cs="Arial"/>
          <w:color w:val="000000"/>
          <w:spacing w:val="8"/>
          <w:sz w:val="24"/>
          <w:szCs w:val="24"/>
        </w:rPr>
        <w:t>El texto cumple con los requisitos bibliográficos y de estilo indicados en las directrices para autoras/es.</w:t>
      </w:r>
    </w:p>
    <w:p w:rsidR="002C3D73" w:rsidRDefault="002C3D73" w:rsidP="002C3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D73" w:rsidRDefault="002C3D73" w:rsidP="002C3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D73" w:rsidRPr="002C3D73" w:rsidRDefault="002C3D73" w:rsidP="002C3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C3D73" w:rsidRPr="002C3D73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9C8"/>
    <w:multiLevelType w:val="multilevel"/>
    <w:tmpl w:val="FC1698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0A1DD5"/>
    <w:multiLevelType w:val="multilevel"/>
    <w:tmpl w:val="41445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883DFC"/>
    <w:multiLevelType w:val="multilevel"/>
    <w:tmpl w:val="7F543A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9B261C"/>
    <w:multiLevelType w:val="multilevel"/>
    <w:tmpl w:val="93129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4E6010"/>
    <w:multiLevelType w:val="multilevel"/>
    <w:tmpl w:val="381862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3704BA4"/>
    <w:multiLevelType w:val="multilevel"/>
    <w:tmpl w:val="160C0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620222"/>
    <w:multiLevelType w:val="multilevel"/>
    <w:tmpl w:val="156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F144BE0"/>
    <w:multiLevelType w:val="multilevel"/>
    <w:tmpl w:val="10583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9F1B75"/>
    <w:multiLevelType w:val="multilevel"/>
    <w:tmpl w:val="0BE0E9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29D5B94"/>
    <w:multiLevelType w:val="multilevel"/>
    <w:tmpl w:val="EF58C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75F64A4"/>
    <w:multiLevelType w:val="multilevel"/>
    <w:tmpl w:val="7D8E50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04F5C1B"/>
    <w:multiLevelType w:val="multilevel"/>
    <w:tmpl w:val="9B020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AB12A10"/>
    <w:multiLevelType w:val="multilevel"/>
    <w:tmpl w:val="DC32E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9584E5E"/>
    <w:multiLevelType w:val="multilevel"/>
    <w:tmpl w:val="4A96E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5"/>
    <w:rsid w:val="00003DC0"/>
    <w:rsid w:val="00087FB8"/>
    <w:rsid w:val="00102F12"/>
    <w:rsid w:val="002C3D73"/>
    <w:rsid w:val="004D23AD"/>
    <w:rsid w:val="00661965"/>
    <w:rsid w:val="0095077B"/>
    <w:rsid w:val="00A04C55"/>
    <w:rsid w:val="00CE668D"/>
    <w:rsid w:val="00E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2F45BF-1EAA-4DE9-BB55-5404782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58"/>
    <w:pPr>
      <w:spacing w:after="200" w:line="276" w:lineRule="auto"/>
    </w:pPr>
    <w:rPr>
      <w:rFonts w:ascii="Calibri" w:eastAsiaTheme="minorEastAsia" w:hAnsi="Calibri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6034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386034"/>
    <w:rPr>
      <w:i/>
      <w:iCs/>
    </w:rPr>
  </w:style>
  <w:style w:type="character" w:customStyle="1" w:styleId="ListLabel1">
    <w:name w:val="ListLabel 1"/>
    <w:qFormat/>
    <w:rPr>
      <w:rFonts w:ascii="Arial" w:hAnsi="Arial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000000"/>
      <w:spacing w:val="8"/>
      <w:sz w:val="21"/>
      <w:szCs w:val="21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38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860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3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17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32494457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3561086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00836260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usuario</cp:lastModifiedBy>
  <cp:revision>5</cp:revision>
  <dcterms:created xsi:type="dcterms:W3CDTF">2019-09-11T13:22:00Z</dcterms:created>
  <dcterms:modified xsi:type="dcterms:W3CDTF">2019-09-11T14:17:00Z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