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CE6B7" w14:textId="77777777" w:rsidR="00814530" w:rsidRPr="00AF75A0" w:rsidRDefault="00814530" w:rsidP="00767DA1">
      <w:pPr>
        <w:jc w:val="right"/>
        <w:rPr>
          <w:rFonts w:ascii="Century Gothic" w:hAnsi="Century Gothic" w:cs="Arial"/>
          <w:sz w:val="22"/>
          <w:szCs w:val="20"/>
          <w:lang w:val="es-CL" w:eastAsia="es-CL"/>
        </w:rPr>
      </w:pPr>
    </w:p>
    <w:p w14:paraId="72C8853D" w14:textId="15DDD598" w:rsidR="003A025B" w:rsidRPr="0012014C" w:rsidRDefault="003A449B" w:rsidP="001B0450">
      <w:pPr>
        <w:jc w:val="center"/>
        <w:rPr>
          <w:rFonts w:ascii="Century Gothic" w:hAnsi="Century Gothic" w:cs="Arial"/>
          <w:b/>
          <w:color w:val="0070C0"/>
          <w:sz w:val="32"/>
          <w:lang w:val="es-CL" w:eastAsia="es-CL"/>
        </w:rPr>
      </w:pPr>
      <w:r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 xml:space="preserve">PROGRAMA </w:t>
      </w:r>
      <w:r w:rsidR="00277444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>Y ANTECEDENTES</w:t>
      </w:r>
      <w:r w:rsidR="003A025B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 xml:space="preserve"> </w:t>
      </w:r>
      <w:r w:rsidR="001B0450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>DIPLOMA</w:t>
      </w:r>
      <w:r w:rsidR="000A73F6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>S</w:t>
      </w:r>
      <w:r w:rsidR="0074373C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 xml:space="preserve"> ONLINE</w:t>
      </w:r>
      <w:r w:rsidR="001B0450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 xml:space="preserve"> </w:t>
      </w:r>
      <w:r w:rsidR="003A025B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>:</w:t>
      </w:r>
    </w:p>
    <w:p w14:paraId="4C07779E" w14:textId="77777777" w:rsidR="000A73F6" w:rsidRPr="0012014C" w:rsidRDefault="000A73F6" w:rsidP="001B0450">
      <w:pPr>
        <w:jc w:val="center"/>
        <w:rPr>
          <w:rFonts w:ascii="Century Gothic" w:hAnsi="Century Gothic" w:cs="Arial"/>
          <w:b/>
          <w:color w:val="0070C0"/>
          <w:sz w:val="32"/>
          <w:lang w:val="es-CL" w:eastAsia="es-CL"/>
        </w:rPr>
      </w:pPr>
    </w:p>
    <w:p w14:paraId="78FDA742" w14:textId="49916374" w:rsidR="000A73F6" w:rsidRPr="0012014C" w:rsidRDefault="0012014C" w:rsidP="000A73F6">
      <w:pPr>
        <w:pStyle w:val="Prrafodelista"/>
        <w:numPr>
          <w:ilvl w:val="0"/>
          <w:numId w:val="32"/>
        </w:numPr>
        <w:rPr>
          <w:rFonts w:ascii="Century Gothic" w:hAnsi="Century Gothic" w:cs="Arial"/>
          <w:b/>
          <w:color w:val="0070C0"/>
          <w:sz w:val="32"/>
          <w:lang w:val="es-CL" w:eastAsia="es-CL"/>
        </w:rPr>
      </w:pPr>
      <w:r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 xml:space="preserve">  </w:t>
      </w:r>
      <w:r w:rsidR="001B0450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 xml:space="preserve">TASACION </w:t>
      </w:r>
      <w:r w:rsidR="003A025B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>DE INMUEBLES URBANOS</w:t>
      </w:r>
      <w:r w:rsidR="000A73F6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 xml:space="preserve">;  </w:t>
      </w:r>
      <w:r w:rsidR="003A025B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 xml:space="preserve"> Y </w:t>
      </w:r>
    </w:p>
    <w:p w14:paraId="4E1EAF0B" w14:textId="69A12437" w:rsidR="00AF75A0" w:rsidRPr="0012014C" w:rsidRDefault="0012014C" w:rsidP="000A73F6">
      <w:pPr>
        <w:pStyle w:val="Prrafodelista"/>
        <w:numPr>
          <w:ilvl w:val="0"/>
          <w:numId w:val="32"/>
        </w:numPr>
        <w:rPr>
          <w:rFonts w:ascii="Century Gothic" w:hAnsi="Century Gothic" w:cs="Arial"/>
          <w:b/>
          <w:color w:val="0070C0"/>
          <w:sz w:val="32"/>
          <w:lang w:val="es-CL" w:eastAsia="es-CL"/>
        </w:rPr>
      </w:pPr>
      <w:r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 xml:space="preserve">  </w:t>
      </w:r>
      <w:r w:rsidR="000A73F6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>TASACIONES AVANZADAS EN BIENES</w:t>
      </w:r>
      <w:r w:rsidR="003A025B" w:rsidRPr="0012014C">
        <w:rPr>
          <w:rFonts w:ascii="Century Gothic" w:hAnsi="Century Gothic" w:cs="Arial"/>
          <w:b/>
          <w:color w:val="0070C0"/>
          <w:sz w:val="32"/>
          <w:lang w:val="es-CL" w:eastAsia="es-CL"/>
        </w:rPr>
        <w:t xml:space="preserve"> ESPECIALES</w:t>
      </w:r>
    </w:p>
    <w:p w14:paraId="23079B0F" w14:textId="77777777" w:rsidR="000A73F6" w:rsidRPr="00DB3860" w:rsidRDefault="000A73F6" w:rsidP="001B0450">
      <w:pPr>
        <w:jc w:val="center"/>
        <w:rPr>
          <w:rFonts w:ascii="Century Gothic" w:hAnsi="Century Gothic" w:cs="Arial"/>
          <w:b/>
          <w:color w:val="0070C0"/>
          <w:sz w:val="18"/>
          <w:lang w:val="es-CL" w:eastAsia="es-CL"/>
        </w:rPr>
      </w:pPr>
    </w:p>
    <w:p w14:paraId="206CE6BA" w14:textId="00D990DC" w:rsidR="003A449B" w:rsidRPr="00AF75A0" w:rsidRDefault="00AF75A0" w:rsidP="001B0450">
      <w:pPr>
        <w:jc w:val="center"/>
        <w:rPr>
          <w:rFonts w:ascii="Century Gothic" w:hAnsi="Century Gothic" w:cs="Arial"/>
          <w:b/>
          <w:color w:val="0070C0"/>
          <w:sz w:val="28"/>
          <w:lang w:val="es-CL" w:eastAsia="es-CL"/>
        </w:rPr>
      </w:pPr>
      <w:r>
        <w:rPr>
          <w:rFonts w:ascii="Century Gothic" w:hAnsi="Century Gothic" w:cs="Arial"/>
          <w:b/>
          <w:color w:val="0070C0"/>
          <w:sz w:val="28"/>
          <w:lang w:val="es-CL" w:eastAsia="es-CL"/>
        </w:rPr>
        <w:t xml:space="preserve">Convenio académico </w:t>
      </w:r>
      <w:r w:rsidRPr="00AF75A0">
        <w:rPr>
          <w:rFonts w:ascii="Century Gothic" w:hAnsi="Century Gothic" w:cs="Arial"/>
          <w:b/>
          <w:color w:val="0070C0"/>
          <w:sz w:val="28"/>
          <w:lang w:val="es-CL" w:eastAsia="es-CL"/>
        </w:rPr>
        <w:t>FAUG - ASATCH</w:t>
      </w:r>
      <w:r w:rsidR="003A025B" w:rsidRPr="00AF75A0">
        <w:rPr>
          <w:rFonts w:ascii="Century Gothic" w:hAnsi="Century Gothic" w:cs="Arial"/>
          <w:b/>
          <w:color w:val="0070C0"/>
          <w:sz w:val="28"/>
          <w:lang w:val="es-CL" w:eastAsia="es-CL"/>
        </w:rPr>
        <w:t xml:space="preserve"> </w:t>
      </w:r>
    </w:p>
    <w:p w14:paraId="206CE6BB" w14:textId="77777777" w:rsidR="003A449B" w:rsidRDefault="003A449B" w:rsidP="003A449B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s-CL" w:eastAsia="es-CL"/>
        </w:rPr>
      </w:pPr>
    </w:p>
    <w:p w14:paraId="363E18B1" w14:textId="77777777" w:rsidR="003A5471" w:rsidRPr="00AF75A0" w:rsidRDefault="003A5471" w:rsidP="003A449B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s-CL" w:eastAsia="es-CL"/>
        </w:rPr>
      </w:pPr>
      <w:bookmarkStart w:id="0" w:name="_GoBack"/>
      <w:bookmarkEnd w:id="0"/>
    </w:p>
    <w:p w14:paraId="206CE6BC" w14:textId="77777777" w:rsidR="00AC155E" w:rsidRPr="00AF75A0" w:rsidRDefault="00AC155E" w:rsidP="00767DA1">
      <w:pPr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</w:p>
    <w:p w14:paraId="206CE6BD" w14:textId="33366A1B" w:rsidR="00C31169" w:rsidRPr="00AF75A0" w:rsidRDefault="003A449B" w:rsidP="00767DA1">
      <w:pPr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  <w:r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DESCRIPCIÓN GENERAL DE</w:t>
      </w:r>
      <w:r w:rsidR="000A73F6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 xml:space="preserve"> </w:t>
      </w:r>
      <w:r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L</w:t>
      </w:r>
      <w:r w:rsidR="000A73F6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OS</w:t>
      </w:r>
      <w:r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 xml:space="preserve"> </w:t>
      </w:r>
      <w:r w:rsidR="00EF0062"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DIPLOMA</w:t>
      </w:r>
      <w:r w:rsidR="0012014C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S</w:t>
      </w:r>
      <w:r w:rsidR="006D627C"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:</w:t>
      </w:r>
    </w:p>
    <w:p w14:paraId="206CE6BE" w14:textId="77777777" w:rsidR="00936DB9" w:rsidRPr="00AF75A0" w:rsidRDefault="00936DB9" w:rsidP="006D627C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  <w:lang w:val="es-CL" w:eastAsia="es-CL"/>
        </w:rPr>
      </w:pPr>
    </w:p>
    <w:p w14:paraId="206CE6BF" w14:textId="2B29C6CD" w:rsidR="00936DB9" w:rsidRPr="00AF75A0" w:rsidRDefault="000A73F6" w:rsidP="006D627C">
      <w:pPr>
        <w:spacing w:line="276" w:lineRule="auto"/>
        <w:jc w:val="both"/>
        <w:rPr>
          <w:rFonts w:ascii="Century Gothic" w:eastAsia="Arial" w:hAnsi="Century Gothic" w:cs="Arial"/>
          <w:iCs/>
          <w:sz w:val="20"/>
          <w:szCs w:val="20"/>
        </w:rPr>
      </w:pPr>
      <w:r>
        <w:rPr>
          <w:rFonts w:ascii="Century Gothic" w:eastAsia="Arial" w:hAnsi="Century Gothic" w:cs="Arial"/>
          <w:iCs/>
          <w:sz w:val="20"/>
          <w:szCs w:val="20"/>
        </w:rPr>
        <w:t>Los Programas de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 xml:space="preserve"> Diploma</w:t>
      </w:r>
      <w:r>
        <w:rPr>
          <w:rFonts w:ascii="Century Gothic" w:eastAsia="Arial" w:hAnsi="Century Gothic" w:cs="Arial"/>
          <w:iCs/>
          <w:sz w:val="20"/>
          <w:szCs w:val="20"/>
        </w:rPr>
        <w:t>s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 xml:space="preserve"> en Tasaciones 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 xml:space="preserve">de Inmuebles Urbanos y </w:t>
      </w:r>
      <w:r>
        <w:rPr>
          <w:rFonts w:ascii="Century Gothic" w:eastAsia="Arial" w:hAnsi="Century Gothic" w:cs="Arial"/>
          <w:iCs/>
          <w:sz w:val="20"/>
          <w:szCs w:val="20"/>
        </w:rPr>
        <w:t xml:space="preserve">Tasasciones Avanzadas en 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>Bienes Especiales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>, orga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 xml:space="preserve">nizado conjuntamente por la Facultad de Arquitectura, Urbanismo y Geografía (FAUG) 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 xml:space="preserve"> y 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 xml:space="preserve"> la Asociación de Tasadores de Chile (</w:t>
      </w:r>
      <w:r w:rsidR="005E234F" w:rsidRPr="00AF75A0">
        <w:rPr>
          <w:rFonts w:ascii="Century Gothic" w:eastAsia="Arial" w:hAnsi="Century Gothic" w:cs="Arial"/>
          <w:iCs/>
          <w:sz w:val="20"/>
          <w:szCs w:val="20"/>
        </w:rPr>
        <w:t>A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>SA</w:t>
      </w:r>
      <w:r w:rsidR="005E234F" w:rsidRPr="00AF75A0">
        <w:rPr>
          <w:rFonts w:ascii="Century Gothic" w:eastAsia="Arial" w:hAnsi="Century Gothic" w:cs="Arial"/>
          <w:iCs/>
          <w:sz w:val="20"/>
          <w:szCs w:val="20"/>
        </w:rPr>
        <w:t>TCH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 xml:space="preserve">), </w:t>
      </w:r>
      <w:r w:rsidR="005E234F" w:rsidRPr="00AF75A0">
        <w:rPr>
          <w:rFonts w:ascii="Century Gothic" w:eastAsia="Arial" w:hAnsi="Century Gothic" w:cs="Arial"/>
          <w:iCs/>
          <w:sz w:val="20"/>
          <w:szCs w:val="20"/>
        </w:rPr>
        <w:t xml:space="preserve"> 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>está</w:t>
      </w:r>
      <w:r>
        <w:rPr>
          <w:rFonts w:ascii="Century Gothic" w:eastAsia="Arial" w:hAnsi="Century Gothic" w:cs="Arial"/>
          <w:iCs/>
          <w:sz w:val="20"/>
          <w:szCs w:val="20"/>
        </w:rPr>
        <w:t>n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 xml:space="preserve"> enfocado</w:t>
      </w:r>
      <w:r>
        <w:rPr>
          <w:rFonts w:ascii="Century Gothic" w:eastAsia="Arial" w:hAnsi="Century Gothic" w:cs="Arial"/>
          <w:iCs/>
          <w:sz w:val="20"/>
          <w:szCs w:val="20"/>
        </w:rPr>
        <w:t>s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 xml:space="preserve"> a entregar todas las herramientas básicas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 xml:space="preserve"> y especializadas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 xml:space="preserve"> para que un profesional del área inmobiliaria, o carreras afines, pueda ejercer como tasador e iniciar un camino en este campo laboral en correcta forma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 xml:space="preserve">, 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 xml:space="preserve"> tanto en términos académicos como éticos, abarcando desde temas conceptuales hasta aplicaciones prácticas en diversos campos de la valoración</w:t>
      </w:r>
      <w:r w:rsidR="005E234F" w:rsidRPr="00AF75A0">
        <w:rPr>
          <w:rFonts w:ascii="Century Gothic" w:eastAsia="Arial" w:hAnsi="Century Gothic" w:cs="Arial"/>
          <w:iCs/>
          <w:sz w:val="20"/>
          <w:szCs w:val="20"/>
        </w:rPr>
        <w:t xml:space="preserve"> inmobiliaria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>.</w:t>
      </w:r>
    </w:p>
    <w:p w14:paraId="0241FDC6" w14:textId="77777777" w:rsidR="003A025B" w:rsidRPr="00AF75A0" w:rsidRDefault="003A025B" w:rsidP="006D627C">
      <w:pPr>
        <w:spacing w:line="276" w:lineRule="auto"/>
        <w:jc w:val="both"/>
        <w:rPr>
          <w:rFonts w:ascii="Century Gothic" w:eastAsia="Arial" w:hAnsi="Century Gothic" w:cs="Arial"/>
          <w:iCs/>
          <w:sz w:val="20"/>
          <w:szCs w:val="20"/>
        </w:rPr>
      </w:pPr>
    </w:p>
    <w:p w14:paraId="206CE6C0" w14:textId="17702FAB" w:rsidR="00936DB9" w:rsidRPr="00AF75A0" w:rsidRDefault="000A73F6" w:rsidP="006D627C">
      <w:pPr>
        <w:spacing w:line="276" w:lineRule="auto"/>
        <w:jc w:val="both"/>
        <w:rPr>
          <w:rFonts w:ascii="Century Gothic" w:eastAsia="Arial" w:hAnsi="Century Gothic" w:cs="Arial"/>
          <w:iCs/>
          <w:sz w:val="20"/>
          <w:szCs w:val="20"/>
        </w:rPr>
      </w:pPr>
      <w:r>
        <w:rPr>
          <w:rFonts w:ascii="Century Gothic" w:eastAsia="Arial" w:hAnsi="Century Gothic" w:cs="Arial"/>
          <w:iCs/>
          <w:sz w:val="20"/>
          <w:szCs w:val="20"/>
        </w:rPr>
        <w:t>Los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 xml:space="preserve"> Programa</w:t>
      </w:r>
      <w:r>
        <w:rPr>
          <w:rFonts w:ascii="Century Gothic" w:eastAsia="Arial" w:hAnsi="Century Gothic" w:cs="Arial"/>
          <w:iCs/>
          <w:sz w:val="20"/>
          <w:szCs w:val="20"/>
        </w:rPr>
        <w:t>s en conjunto,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 xml:space="preserve"> compuesto</w:t>
      </w:r>
      <w:r>
        <w:rPr>
          <w:rFonts w:ascii="Century Gothic" w:eastAsia="Arial" w:hAnsi="Century Gothic" w:cs="Arial"/>
          <w:iCs/>
          <w:sz w:val="20"/>
          <w:szCs w:val="20"/>
        </w:rPr>
        <w:t>s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 xml:space="preserve"> por 4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 xml:space="preserve"> módulos, cada uno equivalente a un curso de capacitación, se presenta como una alternativa metodológica altamente flexible, otorgando al alumno la factibilidad de incrementar y dirigir sus conocimientos específicamente hacia el área de su mayor interés, a través de la continuidad de estudios que ofrece, todo lo anterior de acuerdo a un marco normativo que establecen convenciones internacionales regulados por la </w:t>
      </w:r>
      <w:r w:rsidR="003A025B" w:rsidRPr="00AF75A0">
        <w:rPr>
          <w:rFonts w:ascii="Century Gothic" w:eastAsia="Arial" w:hAnsi="Century Gothic" w:cs="Arial"/>
          <w:iCs/>
          <w:sz w:val="20"/>
          <w:szCs w:val="20"/>
        </w:rPr>
        <w:t xml:space="preserve">Norma </w:t>
      </w:r>
      <w:r w:rsidR="006D627C" w:rsidRPr="00AF75A0">
        <w:rPr>
          <w:rFonts w:ascii="Century Gothic" w:eastAsia="Arial" w:hAnsi="Century Gothic" w:cs="Arial"/>
          <w:iCs/>
          <w:sz w:val="20"/>
          <w:szCs w:val="20"/>
        </w:rPr>
        <w:t xml:space="preserve">Internacional de Valoración </w:t>
      </w:r>
      <w:r w:rsidR="00936DB9" w:rsidRPr="00AF75A0">
        <w:rPr>
          <w:rFonts w:ascii="Century Gothic" w:eastAsia="Arial" w:hAnsi="Century Gothic" w:cs="Arial"/>
          <w:iCs/>
          <w:sz w:val="20"/>
          <w:szCs w:val="20"/>
        </w:rPr>
        <w:t>IVSC</w:t>
      </w:r>
      <w:r w:rsidR="006D627C" w:rsidRPr="00AF75A0">
        <w:rPr>
          <w:rFonts w:ascii="Century Gothic" w:eastAsia="Arial" w:hAnsi="Century Gothic" w:cs="Arial"/>
          <w:iCs/>
          <w:sz w:val="20"/>
          <w:szCs w:val="20"/>
        </w:rPr>
        <w:t>.</w:t>
      </w:r>
    </w:p>
    <w:p w14:paraId="206CE6C1" w14:textId="77777777" w:rsidR="00936DB9" w:rsidRPr="00AF75A0" w:rsidRDefault="00936DB9" w:rsidP="00936DB9">
      <w:pPr>
        <w:jc w:val="both"/>
        <w:rPr>
          <w:rFonts w:ascii="Century Gothic" w:eastAsia="Arial" w:hAnsi="Century Gothic" w:cs="Arial"/>
          <w:b/>
          <w:bCs/>
          <w:color w:val="303030"/>
          <w:szCs w:val="20"/>
        </w:rPr>
      </w:pPr>
    </w:p>
    <w:p w14:paraId="206CE6C2" w14:textId="3323698F" w:rsidR="003141C1" w:rsidRPr="00AF75A0" w:rsidRDefault="00AC155E" w:rsidP="00AC155E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  <w:r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OBJETIVOS DE</w:t>
      </w:r>
      <w:r w:rsidR="000A73F6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 xml:space="preserve"> </w:t>
      </w:r>
      <w:r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L</w:t>
      </w:r>
      <w:r w:rsidR="000A73F6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OS</w:t>
      </w:r>
      <w:r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 xml:space="preserve"> </w:t>
      </w:r>
      <w:r w:rsidR="00EF0062"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DIPLOMA</w:t>
      </w:r>
      <w:r w:rsidR="000A73F6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S</w:t>
      </w:r>
      <w:r w:rsidR="006D627C"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:</w:t>
      </w:r>
    </w:p>
    <w:p w14:paraId="08C7EAE9" w14:textId="77777777" w:rsidR="006D627C" w:rsidRPr="00AF75A0" w:rsidRDefault="006D627C" w:rsidP="00AC155E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</w:p>
    <w:p w14:paraId="206CE6C3" w14:textId="77777777" w:rsidR="00936DB9" w:rsidRPr="00AF75A0" w:rsidRDefault="00936DB9" w:rsidP="00352DB1">
      <w:pPr>
        <w:pStyle w:val="Prrafodelista"/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ascii="Century Gothic" w:eastAsia="Arial" w:hAnsi="Century Gothic" w:cs="Arial"/>
          <w:iCs/>
          <w:sz w:val="20"/>
          <w:szCs w:val="20"/>
        </w:rPr>
      </w:pPr>
      <w:r w:rsidRPr="00AF75A0">
        <w:rPr>
          <w:rFonts w:ascii="Century Gothic" w:eastAsia="Arial" w:hAnsi="Century Gothic" w:cs="Arial"/>
          <w:iCs/>
          <w:sz w:val="20"/>
          <w:szCs w:val="20"/>
        </w:rPr>
        <w:t>Revisión de las metodologías tradicionales de valoración de inmuebles, así como las técnicas de apoyo tendientes a la formulación fundamentada conceptual y técnicamente de los informes de tasación de inmuebles.</w:t>
      </w:r>
    </w:p>
    <w:p w14:paraId="4F5EEE92" w14:textId="77777777" w:rsidR="0074373C" w:rsidRPr="00352DB1" w:rsidRDefault="0074373C" w:rsidP="00352DB1">
      <w:pPr>
        <w:pStyle w:val="Prrafodelista"/>
        <w:spacing w:after="200" w:line="276" w:lineRule="auto"/>
        <w:ind w:left="284" w:hanging="284"/>
        <w:jc w:val="both"/>
        <w:rPr>
          <w:rFonts w:ascii="Century Gothic" w:eastAsia="Arial" w:hAnsi="Century Gothic" w:cs="Arial"/>
          <w:iCs/>
          <w:sz w:val="10"/>
          <w:szCs w:val="20"/>
        </w:rPr>
      </w:pPr>
    </w:p>
    <w:p w14:paraId="206CE6C4" w14:textId="375E821B" w:rsidR="00936DB9" w:rsidRPr="00AF75A0" w:rsidRDefault="00936DB9" w:rsidP="00352DB1">
      <w:pPr>
        <w:pStyle w:val="Prrafodelista"/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ascii="Century Gothic" w:eastAsia="Arial" w:hAnsi="Century Gothic" w:cs="Arial"/>
          <w:iCs/>
          <w:sz w:val="20"/>
          <w:szCs w:val="20"/>
        </w:rPr>
      </w:pPr>
      <w:r w:rsidRPr="00AF75A0">
        <w:rPr>
          <w:rFonts w:ascii="Century Gothic" w:eastAsia="Arial" w:hAnsi="Century Gothic" w:cs="Arial"/>
          <w:iCs/>
          <w:sz w:val="20"/>
          <w:szCs w:val="20"/>
        </w:rPr>
        <w:t>Entrega de herramientas metodológicas e instrumentales que permiten mejorar la gestión, eficiencia y productividad del experto tasador a fin de optimizar los procedimientos y análisis de datos dinámicos tendientes a una adecuada valoración.</w:t>
      </w:r>
    </w:p>
    <w:p w14:paraId="304C8B47" w14:textId="77777777" w:rsidR="00AF75A0" w:rsidRPr="00352DB1" w:rsidRDefault="00AF75A0" w:rsidP="00352DB1">
      <w:pPr>
        <w:pStyle w:val="Prrafodelista"/>
        <w:ind w:left="284" w:hanging="284"/>
        <w:rPr>
          <w:rFonts w:ascii="Century Gothic" w:eastAsia="Arial" w:hAnsi="Century Gothic" w:cs="Arial"/>
          <w:iCs/>
          <w:sz w:val="10"/>
          <w:szCs w:val="20"/>
        </w:rPr>
      </w:pPr>
    </w:p>
    <w:p w14:paraId="3FB22545" w14:textId="5D8C83A6" w:rsidR="00AF75A0" w:rsidRPr="00AF75A0" w:rsidRDefault="00AF75A0" w:rsidP="00352DB1">
      <w:pPr>
        <w:pStyle w:val="Prrafodelista"/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ascii="Century Gothic" w:eastAsia="Arial" w:hAnsi="Century Gothic" w:cs="Arial"/>
          <w:iCs/>
          <w:sz w:val="20"/>
          <w:szCs w:val="20"/>
        </w:rPr>
      </w:pPr>
      <w:r w:rsidRPr="00AF75A0">
        <w:rPr>
          <w:rFonts w:ascii="Century Gothic" w:eastAsia="Arial" w:hAnsi="Century Gothic" w:cs="Arial"/>
          <w:iCs/>
          <w:sz w:val="20"/>
          <w:szCs w:val="20"/>
        </w:rPr>
        <w:t xml:space="preserve">Proporcionar una base técnica adecuada a las necesidades actuales en la formación profesional del tasar, especialmente en zonas de alto dinamismo inmobiliario e industrial como es el caso de la Región del Biobío. </w:t>
      </w:r>
    </w:p>
    <w:p w14:paraId="206CE6C5" w14:textId="77777777" w:rsidR="00AC155E" w:rsidRDefault="00AC155E" w:rsidP="00AC155E">
      <w:pPr>
        <w:spacing w:line="276" w:lineRule="auto"/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</w:p>
    <w:p w14:paraId="70955A81" w14:textId="77777777" w:rsidR="000A73F6" w:rsidRDefault="000A73F6" w:rsidP="00AC155E">
      <w:pPr>
        <w:spacing w:line="276" w:lineRule="auto"/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</w:p>
    <w:p w14:paraId="2CBDF29D" w14:textId="77777777" w:rsidR="000A73F6" w:rsidRDefault="000A73F6" w:rsidP="00AC155E">
      <w:pPr>
        <w:spacing w:line="276" w:lineRule="auto"/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</w:p>
    <w:p w14:paraId="0E112C4F" w14:textId="77777777" w:rsidR="000A73F6" w:rsidRPr="00AF75A0" w:rsidRDefault="000A73F6" w:rsidP="00AC155E">
      <w:pPr>
        <w:spacing w:line="276" w:lineRule="auto"/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</w:p>
    <w:p w14:paraId="719DF015" w14:textId="77777777" w:rsidR="00352DB1" w:rsidRPr="00AF75A0" w:rsidRDefault="00352DB1" w:rsidP="00AC155E">
      <w:pPr>
        <w:spacing w:line="276" w:lineRule="auto"/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</w:p>
    <w:p w14:paraId="206CE6C6" w14:textId="77AA887C" w:rsidR="00AC155E" w:rsidRPr="00AF75A0" w:rsidRDefault="00AC155E" w:rsidP="00AC155E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  <w:r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CONTENIDOS</w:t>
      </w:r>
      <w:r w:rsidR="00A64C52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 xml:space="preserve"> Y FECHAS DE EJECUCION</w:t>
      </w:r>
      <w:r w:rsidR="006D627C"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:</w:t>
      </w:r>
    </w:p>
    <w:p w14:paraId="206CE6C7" w14:textId="77777777" w:rsidR="00EF0062" w:rsidRDefault="00EF0062" w:rsidP="00AC155E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</w:p>
    <w:p w14:paraId="48E49814" w14:textId="77777777" w:rsidR="00A64C52" w:rsidRPr="00AF75A0" w:rsidRDefault="00A64C52" w:rsidP="00AC155E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</w:p>
    <w:p w14:paraId="64C7D006" w14:textId="6390511D" w:rsidR="00850183" w:rsidRPr="00AF75A0" w:rsidRDefault="00A64C52" w:rsidP="00224B58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  <w:r w:rsidRPr="00A64C52">
        <w:drawing>
          <wp:inline distT="0" distB="0" distL="0" distR="0" wp14:anchorId="47809833" wp14:editId="1AAD9BAC">
            <wp:extent cx="5603240" cy="64325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831F" w14:textId="77777777" w:rsidR="006D627C" w:rsidRPr="00AF75A0" w:rsidRDefault="006D627C" w:rsidP="003A025B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</w:p>
    <w:p w14:paraId="6B8A1640" w14:textId="77777777" w:rsidR="006D627C" w:rsidRPr="00AF75A0" w:rsidRDefault="006D627C" w:rsidP="003A025B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</w:p>
    <w:p w14:paraId="2B8474DC" w14:textId="77777777" w:rsidR="006D627C" w:rsidRPr="00AF75A0" w:rsidRDefault="006D627C" w:rsidP="003A025B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</w:p>
    <w:p w14:paraId="1383ED12" w14:textId="77777777" w:rsidR="006D627C" w:rsidRDefault="006D627C" w:rsidP="003A025B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</w:p>
    <w:p w14:paraId="2D1AF229" w14:textId="77777777" w:rsidR="00A64C52" w:rsidRDefault="00A64C52" w:rsidP="003A025B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</w:p>
    <w:p w14:paraId="7DC8E92E" w14:textId="24CB834A" w:rsidR="00A64C52" w:rsidRDefault="00A64C52" w:rsidP="003A025B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  <w:r w:rsidRPr="00A64C52">
        <w:drawing>
          <wp:inline distT="0" distB="0" distL="0" distR="0" wp14:anchorId="039B955F" wp14:editId="29647210">
            <wp:extent cx="5610860" cy="373380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74" cy="374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8532" w14:textId="77777777" w:rsidR="00A64C52" w:rsidRDefault="00A64C52" w:rsidP="003A025B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</w:p>
    <w:p w14:paraId="064E1C27" w14:textId="77777777" w:rsidR="0012014C" w:rsidRPr="00AF75A0" w:rsidRDefault="0012014C" w:rsidP="003A025B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</w:p>
    <w:p w14:paraId="206CE741" w14:textId="4B6AA187" w:rsidR="003141C1" w:rsidRPr="00AF75A0" w:rsidRDefault="003141C1" w:rsidP="003A025B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  <w:r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DURACIÓN</w:t>
      </w:r>
      <w:r w:rsidR="006D627C"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:</w:t>
      </w:r>
    </w:p>
    <w:p w14:paraId="206CE743" w14:textId="78F3FFF6" w:rsidR="00ED2DA5" w:rsidRPr="00AF75A0" w:rsidRDefault="0012014C" w:rsidP="003A025B">
      <w:pPr>
        <w:shd w:val="clear" w:color="auto" w:fill="FFFFFF"/>
        <w:spacing w:before="225" w:after="225"/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  <w:r>
        <w:rPr>
          <w:rFonts w:ascii="Century Gothic" w:hAnsi="Century Gothic" w:cs="Arial"/>
          <w:sz w:val="20"/>
          <w:szCs w:val="20"/>
          <w:lang w:val="es-CL" w:eastAsia="es-CL"/>
        </w:rPr>
        <w:t xml:space="preserve">Los 2 </w:t>
      </w:r>
      <w:r w:rsidR="00850183" w:rsidRPr="00AF75A0">
        <w:rPr>
          <w:rFonts w:ascii="Century Gothic" w:hAnsi="Century Gothic" w:cs="Arial"/>
          <w:sz w:val="20"/>
          <w:szCs w:val="20"/>
          <w:lang w:val="es-CL" w:eastAsia="es-CL"/>
        </w:rPr>
        <w:t>Diploma</w:t>
      </w:r>
      <w:r>
        <w:rPr>
          <w:rFonts w:ascii="Century Gothic" w:hAnsi="Century Gothic" w:cs="Arial"/>
          <w:sz w:val="20"/>
          <w:szCs w:val="20"/>
          <w:lang w:val="es-CL" w:eastAsia="es-CL"/>
        </w:rPr>
        <w:t xml:space="preserve">s en total </w:t>
      </w:r>
      <w:r w:rsidR="00951AEC" w:rsidRPr="00AF75A0">
        <w:rPr>
          <w:rFonts w:ascii="Century Gothic" w:hAnsi="Century Gothic" w:cs="Arial"/>
          <w:sz w:val="20"/>
          <w:szCs w:val="20"/>
          <w:lang w:val="es-CL" w:eastAsia="es-CL"/>
        </w:rPr>
        <w:t xml:space="preserve"> tiene</w:t>
      </w:r>
      <w:r>
        <w:rPr>
          <w:rFonts w:ascii="Century Gothic" w:hAnsi="Century Gothic" w:cs="Arial"/>
          <w:sz w:val="20"/>
          <w:szCs w:val="20"/>
          <w:lang w:val="es-CL" w:eastAsia="es-CL"/>
        </w:rPr>
        <w:t>n</w:t>
      </w:r>
      <w:r w:rsidR="00951AEC" w:rsidRPr="00AF75A0">
        <w:rPr>
          <w:rFonts w:ascii="Century Gothic" w:hAnsi="Century Gothic" w:cs="Arial"/>
          <w:sz w:val="20"/>
          <w:szCs w:val="20"/>
          <w:lang w:val="es-CL" w:eastAsia="es-CL"/>
        </w:rPr>
        <w:t xml:space="preserve"> una duración de </w:t>
      </w:r>
      <w:r w:rsidR="004B3249" w:rsidRPr="00AF75A0">
        <w:rPr>
          <w:rFonts w:ascii="Century Gothic" w:hAnsi="Century Gothic" w:cs="Arial"/>
          <w:sz w:val="20"/>
          <w:szCs w:val="20"/>
          <w:lang w:val="es-CL" w:eastAsia="es-CL"/>
        </w:rPr>
        <w:t>120</w:t>
      </w:r>
      <w:r w:rsidR="0058152B" w:rsidRPr="00AF75A0">
        <w:rPr>
          <w:rFonts w:ascii="Century Gothic" w:hAnsi="Century Gothic" w:cs="Arial"/>
          <w:sz w:val="20"/>
          <w:szCs w:val="20"/>
          <w:lang w:val="es-CL" w:eastAsia="es-CL"/>
        </w:rPr>
        <w:t xml:space="preserve"> </w:t>
      </w:r>
      <w:r w:rsidR="00951AEC" w:rsidRPr="00AF75A0">
        <w:rPr>
          <w:rFonts w:ascii="Century Gothic" w:hAnsi="Century Gothic" w:cs="Arial"/>
          <w:sz w:val="20"/>
          <w:szCs w:val="20"/>
          <w:lang w:val="es-CL" w:eastAsia="es-CL"/>
        </w:rPr>
        <w:t>Horas cronológica</w:t>
      </w:r>
      <w:r w:rsidR="003A025B" w:rsidRPr="00AF75A0">
        <w:rPr>
          <w:rFonts w:ascii="Century Gothic" w:hAnsi="Century Gothic" w:cs="Arial"/>
          <w:sz w:val="20"/>
          <w:szCs w:val="20"/>
          <w:lang w:val="es-CL" w:eastAsia="es-CL"/>
        </w:rPr>
        <w:t>s</w:t>
      </w:r>
      <w:r w:rsidR="004B3249" w:rsidRPr="00AF75A0">
        <w:rPr>
          <w:rFonts w:ascii="Century Gothic" w:hAnsi="Century Gothic" w:cs="Arial"/>
          <w:sz w:val="20"/>
          <w:szCs w:val="20"/>
          <w:lang w:val="es-CL" w:eastAsia="es-CL"/>
        </w:rPr>
        <w:t xml:space="preserve">, </w:t>
      </w:r>
      <w:r w:rsidR="003A025B" w:rsidRPr="00AF75A0">
        <w:rPr>
          <w:rFonts w:ascii="Century Gothic" w:hAnsi="Century Gothic" w:cs="Arial"/>
          <w:sz w:val="20"/>
          <w:szCs w:val="20"/>
          <w:lang w:val="es-CL" w:eastAsia="es-CL"/>
        </w:rPr>
        <w:t>desarrolladas en las modalidades sincrónica y asincrónica</w:t>
      </w:r>
      <w:r w:rsidR="004B3249" w:rsidRPr="00AF75A0">
        <w:rPr>
          <w:rFonts w:ascii="Century Gothic" w:hAnsi="Century Gothic" w:cs="Arial"/>
          <w:sz w:val="20"/>
          <w:szCs w:val="20"/>
          <w:lang w:val="es-CL" w:eastAsia="es-CL"/>
        </w:rPr>
        <w:t>.</w:t>
      </w:r>
      <w:r w:rsidR="0074373C" w:rsidRPr="00AF75A0">
        <w:rPr>
          <w:rFonts w:ascii="Century Gothic" w:hAnsi="Century Gothic" w:cs="Arial"/>
          <w:sz w:val="20"/>
          <w:szCs w:val="20"/>
          <w:lang w:val="es-CL" w:eastAsia="es-CL"/>
        </w:rPr>
        <w:t xml:space="preserve">  </w:t>
      </w:r>
      <w:r w:rsidR="00ED2DA5" w:rsidRPr="00AF75A0">
        <w:rPr>
          <w:rFonts w:ascii="Century Gothic" w:hAnsi="Century Gothic" w:cs="Arial"/>
          <w:sz w:val="20"/>
          <w:szCs w:val="20"/>
          <w:lang w:val="es-CL" w:eastAsia="es-CL"/>
        </w:rPr>
        <w:t>Se entreg</w:t>
      </w:r>
      <w:r w:rsidR="00352DB1">
        <w:rPr>
          <w:rFonts w:ascii="Century Gothic" w:hAnsi="Century Gothic" w:cs="Arial"/>
          <w:sz w:val="20"/>
          <w:szCs w:val="20"/>
          <w:lang w:val="es-CL" w:eastAsia="es-CL"/>
        </w:rPr>
        <w:t>ará Diploma de Capacitación y Certificado de</w:t>
      </w:r>
      <w:r>
        <w:rPr>
          <w:rFonts w:ascii="Century Gothic" w:hAnsi="Century Gothic" w:cs="Arial"/>
          <w:sz w:val="20"/>
          <w:szCs w:val="20"/>
          <w:lang w:val="es-CL" w:eastAsia="es-CL"/>
        </w:rPr>
        <w:t xml:space="preserve"> Asistencia según Reglamento Interno de la Unidad de Capacitación de la Facultad de Arquitectura, Urbanismo y Geografía UdeC.</w:t>
      </w:r>
    </w:p>
    <w:p w14:paraId="206CE744" w14:textId="77777777" w:rsidR="00F10BF2" w:rsidRDefault="00F10BF2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</w:p>
    <w:p w14:paraId="0D78A708" w14:textId="77777777" w:rsidR="0012014C" w:rsidRDefault="0012014C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</w:p>
    <w:p w14:paraId="6885D708" w14:textId="52A2709B" w:rsidR="0012014C" w:rsidRPr="00AF75A0" w:rsidRDefault="0012014C" w:rsidP="0012014C">
      <w:pPr>
        <w:spacing w:line="276" w:lineRule="auto"/>
        <w:jc w:val="both"/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</w:pPr>
      <w:r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VALORES</w:t>
      </w:r>
      <w:r w:rsidRPr="00AF75A0">
        <w:rPr>
          <w:rFonts w:ascii="Century Gothic" w:hAnsi="Century Gothic" w:cs="Arial"/>
          <w:b/>
          <w:sz w:val="22"/>
          <w:szCs w:val="20"/>
          <w:u w:val="single"/>
          <w:lang w:val="es-CL" w:eastAsia="es-CL"/>
        </w:rPr>
        <w:t>:</w:t>
      </w:r>
    </w:p>
    <w:p w14:paraId="68ACA1DD" w14:textId="77777777" w:rsidR="0012014C" w:rsidRDefault="0012014C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</w:p>
    <w:p w14:paraId="41CA91D2" w14:textId="242A2109" w:rsidR="0012014C" w:rsidRDefault="0012014C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  <w:r w:rsidRPr="0012014C">
        <w:rPr>
          <w:rFonts w:eastAsia="Arial"/>
        </w:rPr>
        <w:drawing>
          <wp:inline distT="0" distB="0" distL="0" distR="0" wp14:anchorId="7F420A44" wp14:editId="2390D528">
            <wp:extent cx="5610260" cy="20066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690" cy="200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0CC5" w14:textId="77777777" w:rsidR="0012014C" w:rsidRDefault="0012014C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</w:p>
    <w:p w14:paraId="747B8F1F" w14:textId="6CB074C8" w:rsidR="0012014C" w:rsidRDefault="0012014C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</w:p>
    <w:p w14:paraId="432E82E3" w14:textId="77777777" w:rsidR="0012014C" w:rsidRDefault="0012014C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</w:p>
    <w:p w14:paraId="6A600439" w14:textId="77777777" w:rsidR="0012014C" w:rsidRDefault="0012014C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</w:p>
    <w:p w14:paraId="008EDCAC" w14:textId="77777777" w:rsidR="0012014C" w:rsidRDefault="0012014C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</w:p>
    <w:p w14:paraId="03B45D6C" w14:textId="77777777" w:rsidR="0012014C" w:rsidRDefault="0012014C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</w:p>
    <w:p w14:paraId="638BA930" w14:textId="77777777" w:rsidR="0012014C" w:rsidRPr="00AF75A0" w:rsidRDefault="0012014C" w:rsidP="005272E1">
      <w:pPr>
        <w:jc w:val="both"/>
        <w:rPr>
          <w:rFonts w:ascii="Century Gothic" w:eastAsia="Arial" w:hAnsi="Century Gothic" w:cs="Arial"/>
          <w:b/>
          <w:bCs/>
          <w:sz w:val="12"/>
          <w:szCs w:val="22"/>
          <w:u w:val="single"/>
        </w:rPr>
      </w:pPr>
    </w:p>
    <w:p w14:paraId="206CE745" w14:textId="4469BBB7" w:rsidR="005272E1" w:rsidRPr="00AF75A0" w:rsidRDefault="005272E1" w:rsidP="005272E1">
      <w:pPr>
        <w:jc w:val="both"/>
        <w:rPr>
          <w:rFonts w:ascii="Century Gothic" w:eastAsia="Arial" w:hAnsi="Century Gothic" w:cs="Arial"/>
          <w:iCs/>
          <w:sz w:val="22"/>
          <w:szCs w:val="22"/>
          <w:u w:val="single"/>
        </w:rPr>
      </w:pPr>
      <w:r w:rsidRPr="00AF75A0">
        <w:rPr>
          <w:rFonts w:ascii="Century Gothic" w:eastAsia="Arial" w:hAnsi="Century Gothic" w:cs="Arial"/>
          <w:b/>
          <w:bCs/>
          <w:sz w:val="22"/>
          <w:szCs w:val="22"/>
          <w:u w:val="single"/>
        </w:rPr>
        <w:t>PERFIL DEL ALUMNO RECOMENDADO</w:t>
      </w:r>
      <w:r w:rsidR="006D627C" w:rsidRPr="00AF75A0">
        <w:rPr>
          <w:rFonts w:ascii="Century Gothic" w:eastAsia="Arial" w:hAnsi="Century Gothic" w:cs="Arial"/>
          <w:b/>
          <w:bCs/>
          <w:sz w:val="22"/>
          <w:szCs w:val="22"/>
          <w:u w:val="single"/>
        </w:rPr>
        <w:t>:</w:t>
      </w:r>
    </w:p>
    <w:p w14:paraId="206CE746" w14:textId="77777777" w:rsidR="005272E1" w:rsidRPr="00AF75A0" w:rsidRDefault="005272E1" w:rsidP="005272E1">
      <w:pPr>
        <w:jc w:val="both"/>
        <w:rPr>
          <w:rFonts w:ascii="Century Gothic" w:eastAsia="Arial" w:hAnsi="Century Gothic" w:cs="Arial"/>
          <w:iCs/>
          <w:sz w:val="20"/>
          <w:szCs w:val="20"/>
        </w:rPr>
      </w:pPr>
    </w:p>
    <w:p w14:paraId="206CE747" w14:textId="77777777" w:rsidR="005272E1" w:rsidRPr="00AF75A0" w:rsidRDefault="005272E1" w:rsidP="006D627C">
      <w:pPr>
        <w:spacing w:line="276" w:lineRule="auto"/>
        <w:jc w:val="both"/>
        <w:rPr>
          <w:rFonts w:ascii="Century Gothic" w:eastAsia="Arial" w:hAnsi="Century Gothic" w:cs="Arial"/>
          <w:iCs/>
          <w:sz w:val="20"/>
          <w:szCs w:val="20"/>
        </w:rPr>
      </w:pPr>
      <w:r w:rsidRPr="00AF75A0">
        <w:rPr>
          <w:rFonts w:ascii="Century Gothic" w:eastAsia="Arial" w:hAnsi="Century Gothic" w:cs="Arial"/>
          <w:iCs/>
          <w:sz w:val="20"/>
          <w:szCs w:val="20"/>
        </w:rPr>
        <w:t xml:space="preserve">Diseñado para todos aquellos profesionales o egresados principalmente de carreras del campo de la arquitectura, urbanismo, ingeniería, construcción, agronomía, paisajismo, geografía y economía, pues considera una base de formación en cuanto a terminologías relacionadas a la edificación, urbanismo y administración financiera. </w:t>
      </w:r>
    </w:p>
    <w:p w14:paraId="421E9347" w14:textId="77777777" w:rsidR="0074373C" w:rsidRPr="00AF75A0" w:rsidRDefault="0074373C" w:rsidP="0074373C">
      <w:pPr>
        <w:jc w:val="both"/>
        <w:rPr>
          <w:rFonts w:ascii="Century Gothic" w:eastAsia="Arial" w:hAnsi="Century Gothic" w:cs="Arial"/>
          <w:iCs/>
          <w:sz w:val="10"/>
          <w:szCs w:val="20"/>
        </w:rPr>
      </w:pPr>
    </w:p>
    <w:p w14:paraId="349EC408" w14:textId="68190E57" w:rsidR="0074373C" w:rsidRDefault="0074373C" w:rsidP="00B657E5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  <w:u w:val="single"/>
          <w:lang w:val="es-ES" w:eastAsia="es-ES"/>
        </w:rPr>
      </w:pPr>
    </w:p>
    <w:p w14:paraId="43AF7568" w14:textId="77777777" w:rsidR="0012014C" w:rsidRDefault="0012014C" w:rsidP="00B657E5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  <w:u w:val="single"/>
          <w:lang w:val="es-ES" w:eastAsia="es-ES"/>
        </w:rPr>
      </w:pPr>
    </w:p>
    <w:p w14:paraId="2484678B" w14:textId="77777777" w:rsidR="0012014C" w:rsidRDefault="0012014C" w:rsidP="00B657E5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  <w:u w:val="single"/>
          <w:lang w:val="es-ES" w:eastAsia="es-ES"/>
        </w:rPr>
      </w:pPr>
    </w:p>
    <w:p w14:paraId="0684F406" w14:textId="77777777" w:rsidR="0012014C" w:rsidRDefault="0012014C" w:rsidP="00B657E5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  <w:u w:val="single"/>
          <w:lang w:val="es-ES" w:eastAsia="es-ES"/>
        </w:rPr>
      </w:pPr>
    </w:p>
    <w:p w14:paraId="35924A52" w14:textId="77777777" w:rsidR="0012014C" w:rsidRDefault="0012014C" w:rsidP="00B657E5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  <w:u w:val="single"/>
          <w:lang w:val="es-ES" w:eastAsia="es-ES"/>
        </w:rPr>
      </w:pPr>
    </w:p>
    <w:p w14:paraId="4839F1D9" w14:textId="77777777" w:rsidR="0012014C" w:rsidRPr="00AF75A0" w:rsidRDefault="0012014C" w:rsidP="00B657E5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  <w:u w:val="single"/>
          <w:lang w:val="es-ES" w:eastAsia="es-ES"/>
        </w:rPr>
      </w:pPr>
    </w:p>
    <w:p w14:paraId="1AA02231" w14:textId="2AEE4E0C" w:rsidR="00A03DDE" w:rsidRDefault="00A03DDE" w:rsidP="00224B58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22"/>
          <w:szCs w:val="20"/>
          <w:u w:val="single"/>
          <w:lang w:val="es-ES" w:eastAsia="es-CL"/>
        </w:rPr>
      </w:pPr>
    </w:p>
    <w:p w14:paraId="27173445" w14:textId="3702BD43" w:rsidR="006A3F3B" w:rsidRDefault="006A3F3B" w:rsidP="00224B58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22"/>
          <w:szCs w:val="20"/>
          <w:u w:val="single"/>
          <w:lang w:val="es-ES" w:eastAsia="es-CL"/>
        </w:rPr>
      </w:pPr>
    </w:p>
    <w:p w14:paraId="1334DCA8" w14:textId="77777777" w:rsidR="005D567E" w:rsidRDefault="005D567E" w:rsidP="000B1936">
      <w:pPr>
        <w:spacing w:line="276" w:lineRule="auto"/>
        <w:jc w:val="center"/>
        <w:rPr>
          <w:rFonts w:ascii="Century Gothic" w:hAnsi="Century Gothic" w:cs="Arial"/>
          <w:b/>
          <w:sz w:val="22"/>
          <w:szCs w:val="20"/>
          <w:lang w:val="es-CL" w:eastAsia="es-CL"/>
        </w:rPr>
      </w:pPr>
    </w:p>
    <w:p w14:paraId="206CE764" w14:textId="4FE7E613" w:rsidR="00224B58" w:rsidRPr="006A3F3B" w:rsidRDefault="003A449B" w:rsidP="000B1936">
      <w:pPr>
        <w:spacing w:line="276" w:lineRule="auto"/>
        <w:jc w:val="center"/>
        <w:rPr>
          <w:rFonts w:ascii="Century Gothic" w:hAnsi="Century Gothic" w:cs="Arial"/>
          <w:b/>
          <w:sz w:val="22"/>
          <w:szCs w:val="20"/>
          <w:lang w:val="es-CL" w:eastAsia="es-CL"/>
        </w:rPr>
      </w:pPr>
      <w:r w:rsidRPr="006A3F3B">
        <w:rPr>
          <w:rFonts w:ascii="Century Gothic" w:hAnsi="Century Gothic" w:cs="Arial"/>
          <w:b/>
          <w:sz w:val="22"/>
          <w:szCs w:val="20"/>
          <w:lang w:val="es-CL" w:eastAsia="es-CL"/>
        </w:rPr>
        <w:t>LETICIA ASTUDILLO REYES</w:t>
      </w:r>
    </w:p>
    <w:p w14:paraId="206CE765" w14:textId="77777777" w:rsidR="00224B58" w:rsidRPr="006A3F3B" w:rsidRDefault="00224B58" w:rsidP="000B1936">
      <w:pPr>
        <w:spacing w:line="276" w:lineRule="auto"/>
        <w:jc w:val="center"/>
        <w:rPr>
          <w:rFonts w:ascii="Century Gothic" w:hAnsi="Century Gothic" w:cs="Arial"/>
          <w:sz w:val="18"/>
          <w:szCs w:val="18"/>
          <w:lang w:val="es-CL" w:eastAsia="es-CL"/>
        </w:rPr>
      </w:pPr>
      <w:r w:rsidRPr="006A3F3B">
        <w:rPr>
          <w:rFonts w:ascii="Century Gothic" w:hAnsi="Century Gothic" w:cs="Arial"/>
          <w:sz w:val="18"/>
          <w:szCs w:val="18"/>
          <w:lang w:val="es-CL" w:eastAsia="es-CL"/>
        </w:rPr>
        <w:t>Coordinadora de Calidad</w:t>
      </w:r>
    </w:p>
    <w:p w14:paraId="206CE766" w14:textId="77777777" w:rsidR="00224B58" w:rsidRPr="006A3F3B" w:rsidRDefault="00814530" w:rsidP="000B1936">
      <w:pPr>
        <w:spacing w:line="276" w:lineRule="auto"/>
        <w:jc w:val="center"/>
        <w:rPr>
          <w:rFonts w:ascii="Century Gothic" w:hAnsi="Century Gothic" w:cs="Arial"/>
          <w:sz w:val="18"/>
          <w:szCs w:val="18"/>
          <w:lang w:val="es-CL" w:eastAsia="es-CL"/>
        </w:rPr>
      </w:pPr>
      <w:r w:rsidRPr="006A3F3B">
        <w:rPr>
          <w:rFonts w:ascii="Century Gothic" w:hAnsi="Century Gothic" w:cs="Arial"/>
          <w:sz w:val="18"/>
          <w:szCs w:val="18"/>
          <w:lang w:val="es-CL" w:eastAsia="es-CL"/>
        </w:rPr>
        <w:t>Unidad de Capacitación</w:t>
      </w:r>
    </w:p>
    <w:p w14:paraId="206CE767" w14:textId="0310659F" w:rsidR="000B1936" w:rsidRPr="006A3F3B" w:rsidRDefault="00814530" w:rsidP="000B1936">
      <w:pPr>
        <w:spacing w:line="276" w:lineRule="auto"/>
        <w:jc w:val="center"/>
        <w:rPr>
          <w:rFonts w:ascii="Century Gothic" w:hAnsi="Century Gothic" w:cs="Arial"/>
          <w:sz w:val="18"/>
          <w:szCs w:val="18"/>
          <w:lang w:val="es-CL" w:eastAsia="es-CL"/>
        </w:rPr>
      </w:pPr>
      <w:r w:rsidRPr="006A3F3B">
        <w:rPr>
          <w:rFonts w:ascii="Century Gothic" w:hAnsi="Century Gothic" w:cs="Arial"/>
          <w:sz w:val="18"/>
          <w:szCs w:val="18"/>
          <w:lang w:val="es-CL" w:eastAsia="es-CL"/>
        </w:rPr>
        <w:t>Facultad de Arquitectura, Urbanismo y Geografía</w:t>
      </w:r>
      <w:r w:rsidR="006A3F3B" w:rsidRPr="006A3F3B">
        <w:rPr>
          <w:rFonts w:ascii="Century Gothic" w:hAnsi="Century Gothic" w:cs="Arial"/>
          <w:sz w:val="18"/>
          <w:szCs w:val="18"/>
          <w:lang w:val="es-CL" w:eastAsia="es-CL"/>
        </w:rPr>
        <w:t xml:space="preserve"> UdeC</w:t>
      </w:r>
    </w:p>
    <w:p w14:paraId="6D4E5E80" w14:textId="34BE1323" w:rsidR="00A03DDE" w:rsidRPr="006A3F3B" w:rsidRDefault="00A03DDE" w:rsidP="0074373C">
      <w:pPr>
        <w:spacing w:line="276" w:lineRule="auto"/>
        <w:jc w:val="center"/>
        <w:rPr>
          <w:rFonts w:ascii="Century Gothic" w:hAnsi="Century Gothic"/>
        </w:rPr>
      </w:pPr>
      <w:r w:rsidRPr="006A3F3B">
        <w:rPr>
          <w:rFonts w:ascii="Century Gothic" w:hAnsi="Century Gothic" w:cs="Arial"/>
          <w:sz w:val="18"/>
          <w:szCs w:val="18"/>
          <w:lang w:val="es-CL" w:eastAsia="es-CL"/>
        </w:rPr>
        <w:t>Email :  letiastudillo@udec.cl</w:t>
      </w:r>
    </w:p>
    <w:sectPr w:rsidR="00A03DDE" w:rsidRPr="006A3F3B" w:rsidSect="006A3F3B">
      <w:headerReference w:type="default" r:id="rId11"/>
      <w:footerReference w:type="default" r:id="rId12"/>
      <w:pgSz w:w="12240" w:h="15840" w:code="1"/>
      <w:pgMar w:top="170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A301" w14:textId="77777777" w:rsidR="00E9189A" w:rsidRDefault="00E9189A" w:rsidP="00767DA1">
      <w:r>
        <w:separator/>
      </w:r>
    </w:p>
  </w:endnote>
  <w:endnote w:type="continuationSeparator" w:id="0">
    <w:p w14:paraId="23CE8E32" w14:textId="77777777" w:rsidR="00E9189A" w:rsidRDefault="00E9189A" w:rsidP="0076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E773" w14:textId="2EA88AD9" w:rsidR="00F10BF2" w:rsidRDefault="00F10BF2">
    <w:pPr>
      <w:pStyle w:val="Piedepgina"/>
      <w:jc w:val="right"/>
    </w:pPr>
  </w:p>
  <w:p w14:paraId="206CE774" w14:textId="77777777" w:rsidR="00F10BF2" w:rsidRDefault="00F10B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6F094" w14:textId="77777777" w:rsidR="00E9189A" w:rsidRDefault="00E9189A" w:rsidP="00767DA1">
      <w:r>
        <w:separator/>
      </w:r>
    </w:p>
  </w:footnote>
  <w:footnote w:type="continuationSeparator" w:id="0">
    <w:p w14:paraId="4C20D45C" w14:textId="77777777" w:rsidR="00E9189A" w:rsidRDefault="00E9189A" w:rsidP="0076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E772" w14:textId="77B0CCEA" w:rsidR="00767DA1" w:rsidRDefault="005D567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4384" behindDoc="0" locked="0" layoutInCell="1" allowOverlap="1" wp14:anchorId="2ED01184" wp14:editId="5A79B99E">
          <wp:simplePos x="0" y="0"/>
          <wp:positionH relativeFrom="column">
            <wp:posOffset>5828665</wp:posOffset>
          </wp:positionH>
          <wp:positionV relativeFrom="paragraph">
            <wp:posOffset>-252730</wp:posOffset>
          </wp:positionV>
          <wp:extent cx="596900" cy="596900"/>
          <wp:effectExtent l="0" t="0" r="0" b="0"/>
          <wp:wrapNone/>
          <wp:docPr id="8" name="Imagen 17" descr="Imagen que contiene plato, alimentos, cuarto,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0BE44D-C1CE-4531-8B7F-48CD3B3AFB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 descr="Imagen que contiene plato, alimentos, cuarto, dibujo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0BE44D-C1CE-4531-8B7F-48CD3B3AFB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264222CE" wp14:editId="574115E8">
          <wp:simplePos x="0" y="0"/>
          <wp:positionH relativeFrom="column">
            <wp:posOffset>5053965</wp:posOffset>
          </wp:positionH>
          <wp:positionV relativeFrom="paragraph">
            <wp:posOffset>-214629</wp:posOffset>
          </wp:positionV>
          <wp:extent cx="549166" cy="558800"/>
          <wp:effectExtent l="0" t="0" r="3810" b="0"/>
          <wp:wrapNone/>
          <wp:docPr id="7" name="Imagen 15" descr="Imagen que contiene dibujo, señal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03EAB1-35C7-4B8D-B1A6-DBC4D7A992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 descr="Imagen que contiene dibujo, señal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03EAB1-35C7-4B8D-B1A6-DBC4D7A992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13" cy="566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06CE777" wp14:editId="0EA65A2B">
          <wp:simplePos x="0" y="0"/>
          <wp:positionH relativeFrom="column">
            <wp:posOffset>2202816</wp:posOffset>
          </wp:positionH>
          <wp:positionV relativeFrom="paragraph">
            <wp:posOffset>-176530</wp:posOffset>
          </wp:positionV>
          <wp:extent cx="722172" cy="476250"/>
          <wp:effectExtent l="0" t="0" r="190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65" cy="48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206CE775" wp14:editId="05B752BE">
          <wp:simplePos x="0" y="0"/>
          <wp:positionH relativeFrom="column">
            <wp:posOffset>1104265</wp:posOffset>
          </wp:positionH>
          <wp:positionV relativeFrom="paragraph">
            <wp:posOffset>-322580</wp:posOffset>
          </wp:positionV>
          <wp:extent cx="730250" cy="73025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PACITACIONES FAU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206CE779" wp14:editId="54B21FB9">
          <wp:simplePos x="0" y="0"/>
          <wp:positionH relativeFrom="column">
            <wp:posOffset>-749935</wp:posOffset>
          </wp:positionH>
          <wp:positionV relativeFrom="paragraph">
            <wp:posOffset>-176530</wp:posOffset>
          </wp:positionV>
          <wp:extent cx="1460500" cy="570523"/>
          <wp:effectExtent l="0" t="0" r="6350" b="1270"/>
          <wp:wrapNone/>
          <wp:docPr id="11" name="Imagen 11" descr="C:\Users\usuario\Desktop\marcaderech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usuario\Desktop\marcaderecha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996" cy="58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609F"/>
    <w:multiLevelType w:val="hybridMultilevel"/>
    <w:tmpl w:val="1048F4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A26B2"/>
    <w:multiLevelType w:val="hybridMultilevel"/>
    <w:tmpl w:val="3C8E9322"/>
    <w:lvl w:ilvl="0" w:tplc="2C2052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67209"/>
    <w:multiLevelType w:val="hybridMultilevel"/>
    <w:tmpl w:val="257E95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C6B74"/>
    <w:multiLevelType w:val="hybridMultilevel"/>
    <w:tmpl w:val="420E931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C3A0E"/>
    <w:multiLevelType w:val="hybridMultilevel"/>
    <w:tmpl w:val="284AFDE8"/>
    <w:lvl w:ilvl="0" w:tplc="856AB0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54FB3"/>
    <w:multiLevelType w:val="hybridMultilevel"/>
    <w:tmpl w:val="B15A3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04696"/>
    <w:multiLevelType w:val="hybridMultilevel"/>
    <w:tmpl w:val="42146CAE"/>
    <w:lvl w:ilvl="0" w:tplc="856AB09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A27E1"/>
    <w:multiLevelType w:val="hybridMultilevel"/>
    <w:tmpl w:val="14A2D622"/>
    <w:lvl w:ilvl="0" w:tplc="4DAAE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1E83"/>
    <w:multiLevelType w:val="hybridMultilevel"/>
    <w:tmpl w:val="5E02E56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E1B27"/>
    <w:multiLevelType w:val="multilevel"/>
    <w:tmpl w:val="AC3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D50EA"/>
    <w:multiLevelType w:val="hybridMultilevel"/>
    <w:tmpl w:val="936E8BEC"/>
    <w:lvl w:ilvl="0" w:tplc="668EE3A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66D7"/>
    <w:multiLevelType w:val="hybridMultilevel"/>
    <w:tmpl w:val="18CCD27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E6BE4"/>
    <w:multiLevelType w:val="multilevel"/>
    <w:tmpl w:val="B9C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03BBF"/>
    <w:multiLevelType w:val="hybridMultilevel"/>
    <w:tmpl w:val="844CC974"/>
    <w:lvl w:ilvl="0" w:tplc="34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38EF6015"/>
    <w:multiLevelType w:val="hybridMultilevel"/>
    <w:tmpl w:val="C19E3F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81FAD"/>
    <w:multiLevelType w:val="multilevel"/>
    <w:tmpl w:val="BF9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30BAA"/>
    <w:multiLevelType w:val="hybridMultilevel"/>
    <w:tmpl w:val="001EFDA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A4C95"/>
    <w:multiLevelType w:val="hybridMultilevel"/>
    <w:tmpl w:val="066A7266"/>
    <w:lvl w:ilvl="0" w:tplc="459E4D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B2946"/>
    <w:multiLevelType w:val="hybridMultilevel"/>
    <w:tmpl w:val="2EA0FBE6"/>
    <w:lvl w:ilvl="0" w:tplc="856AB09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50CFB"/>
    <w:multiLevelType w:val="hybridMultilevel"/>
    <w:tmpl w:val="799E05D6"/>
    <w:lvl w:ilvl="0" w:tplc="856AB09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91A59"/>
    <w:multiLevelType w:val="hybridMultilevel"/>
    <w:tmpl w:val="14A2D622"/>
    <w:lvl w:ilvl="0" w:tplc="4DAAE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07C08"/>
    <w:multiLevelType w:val="hybridMultilevel"/>
    <w:tmpl w:val="AA0AC274"/>
    <w:lvl w:ilvl="0" w:tplc="856AB09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F3513"/>
    <w:multiLevelType w:val="multilevel"/>
    <w:tmpl w:val="ADB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1222F"/>
    <w:multiLevelType w:val="hybridMultilevel"/>
    <w:tmpl w:val="5F3CED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1E6E25"/>
    <w:multiLevelType w:val="multilevel"/>
    <w:tmpl w:val="8C2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5260A"/>
    <w:multiLevelType w:val="multilevel"/>
    <w:tmpl w:val="2A9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0C0F1A"/>
    <w:multiLevelType w:val="multilevel"/>
    <w:tmpl w:val="A5F2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9F6F58"/>
    <w:multiLevelType w:val="multilevel"/>
    <w:tmpl w:val="A45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2095A"/>
    <w:multiLevelType w:val="multilevel"/>
    <w:tmpl w:val="D760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26C7E"/>
    <w:multiLevelType w:val="multilevel"/>
    <w:tmpl w:val="D806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3936FA"/>
    <w:multiLevelType w:val="multilevel"/>
    <w:tmpl w:val="8C5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2389A"/>
    <w:multiLevelType w:val="hybridMultilevel"/>
    <w:tmpl w:val="3FB46666"/>
    <w:lvl w:ilvl="0" w:tplc="04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23"/>
  </w:num>
  <w:num w:numId="5">
    <w:abstractNumId w:val="3"/>
  </w:num>
  <w:num w:numId="6">
    <w:abstractNumId w:val="11"/>
  </w:num>
  <w:num w:numId="7">
    <w:abstractNumId w:val="16"/>
  </w:num>
  <w:num w:numId="8">
    <w:abstractNumId w:val="31"/>
  </w:num>
  <w:num w:numId="9">
    <w:abstractNumId w:val="29"/>
  </w:num>
  <w:num w:numId="10">
    <w:abstractNumId w:val="30"/>
  </w:num>
  <w:num w:numId="11">
    <w:abstractNumId w:val="9"/>
  </w:num>
  <w:num w:numId="12">
    <w:abstractNumId w:val="24"/>
  </w:num>
  <w:num w:numId="13">
    <w:abstractNumId w:val="25"/>
  </w:num>
  <w:num w:numId="14">
    <w:abstractNumId w:val="15"/>
  </w:num>
  <w:num w:numId="15">
    <w:abstractNumId w:val="27"/>
  </w:num>
  <w:num w:numId="16">
    <w:abstractNumId w:val="26"/>
  </w:num>
  <w:num w:numId="17">
    <w:abstractNumId w:val="22"/>
  </w:num>
  <w:num w:numId="18">
    <w:abstractNumId w:val="28"/>
  </w:num>
  <w:num w:numId="19">
    <w:abstractNumId w:val="1"/>
  </w:num>
  <w:num w:numId="20">
    <w:abstractNumId w:val="20"/>
  </w:num>
  <w:num w:numId="21">
    <w:abstractNumId w:val="7"/>
  </w:num>
  <w:num w:numId="22">
    <w:abstractNumId w:val="21"/>
  </w:num>
  <w:num w:numId="23">
    <w:abstractNumId w:val="6"/>
  </w:num>
  <w:num w:numId="24">
    <w:abstractNumId w:val="12"/>
  </w:num>
  <w:num w:numId="25">
    <w:abstractNumId w:val="18"/>
  </w:num>
  <w:num w:numId="26">
    <w:abstractNumId w:val="4"/>
  </w:num>
  <w:num w:numId="27">
    <w:abstractNumId w:val="19"/>
  </w:num>
  <w:num w:numId="28">
    <w:abstractNumId w:val="14"/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6A"/>
    <w:rsid w:val="0000034D"/>
    <w:rsid w:val="00001479"/>
    <w:rsid w:val="000A3B06"/>
    <w:rsid w:val="000A66F6"/>
    <w:rsid w:val="000A73F6"/>
    <w:rsid w:val="000B1936"/>
    <w:rsid w:val="000B1C6F"/>
    <w:rsid w:val="000B291D"/>
    <w:rsid w:val="000D36DD"/>
    <w:rsid w:val="000E4BF0"/>
    <w:rsid w:val="00103B23"/>
    <w:rsid w:val="0012014C"/>
    <w:rsid w:val="001311C0"/>
    <w:rsid w:val="0014157A"/>
    <w:rsid w:val="00144AF0"/>
    <w:rsid w:val="001602AC"/>
    <w:rsid w:val="00164900"/>
    <w:rsid w:val="00174EB3"/>
    <w:rsid w:val="001876EA"/>
    <w:rsid w:val="0019015A"/>
    <w:rsid w:val="001A40C0"/>
    <w:rsid w:val="001A58FF"/>
    <w:rsid w:val="001B0450"/>
    <w:rsid w:val="001B35A7"/>
    <w:rsid w:val="00224B58"/>
    <w:rsid w:val="00236219"/>
    <w:rsid w:val="00244738"/>
    <w:rsid w:val="00277444"/>
    <w:rsid w:val="002A1B1C"/>
    <w:rsid w:val="002B70B4"/>
    <w:rsid w:val="002E7607"/>
    <w:rsid w:val="003141C1"/>
    <w:rsid w:val="00324196"/>
    <w:rsid w:val="00335A98"/>
    <w:rsid w:val="0033792E"/>
    <w:rsid w:val="00342608"/>
    <w:rsid w:val="00342E2E"/>
    <w:rsid w:val="00352DB1"/>
    <w:rsid w:val="00355AFC"/>
    <w:rsid w:val="00357768"/>
    <w:rsid w:val="00374B6B"/>
    <w:rsid w:val="00376E7E"/>
    <w:rsid w:val="00384382"/>
    <w:rsid w:val="00394E5A"/>
    <w:rsid w:val="003A025B"/>
    <w:rsid w:val="003A449B"/>
    <w:rsid w:val="003A5471"/>
    <w:rsid w:val="003C113D"/>
    <w:rsid w:val="003C1D1D"/>
    <w:rsid w:val="003D4AA9"/>
    <w:rsid w:val="003E3C20"/>
    <w:rsid w:val="00430180"/>
    <w:rsid w:val="00495635"/>
    <w:rsid w:val="004A2CBF"/>
    <w:rsid w:val="004B3249"/>
    <w:rsid w:val="004C503D"/>
    <w:rsid w:val="004D1985"/>
    <w:rsid w:val="004E72EC"/>
    <w:rsid w:val="00503847"/>
    <w:rsid w:val="005272E1"/>
    <w:rsid w:val="005428F0"/>
    <w:rsid w:val="00547F6A"/>
    <w:rsid w:val="00557DE3"/>
    <w:rsid w:val="00562DD8"/>
    <w:rsid w:val="00564BA2"/>
    <w:rsid w:val="00573B07"/>
    <w:rsid w:val="00577155"/>
    <w:rsid w:val="0058152B"/>
    <w:rsid w:val="005A04D2"/>
    <w:rsid w:val="005A23B9"/>
    <w:rsid w:val="005D0676"/>
    <w:rsid w:val="005D567E"/>
    <w:rsid w:val="005E234F"/>
    <w:rsid w:val="005E3D7E"/>
    <w:rsid w:val="005F0CFD"/>
    <w:rsid w:val="0061656F"/>
    <w:rsid w:val="00617BB8"/>
    <w:rsid w:val="006372EB"/>
    <w:rsid w:val="00683A02"/>
    <w:rsid w:val="006931D9"/>
    <w:rsid w:val="006A3F3B"/>
    <w:rsid w:val="006C5161"/>
    <w:rsid w:val="006D627C"/>
    <w:rsid w:val="00710679"/>
    <w:rsid w:val="00716DD6"/>
    <w:rsid w:val="0074373C"/>
    <w:rsid w:val="007509CA"/>
    <w:rsid w:val="00753CBC"/>
    <w:rsid w:val="00767DA1"/>
    <w:rsid w:val="00774140"/>
    <w:rsid w:val="007775DE"/>
    <w:rsid w:val="00787FCA"/>
    <w:rsid w:val="007971BD"/>
    <w:rsid w:val="007C5DC6"/>
    <w:rsid w:val="00814530"/>
    <w:rsid w:val="008170F2"/>
    <w:rsid w:val="00825033"/>
    <w:rsid w:val="00850183"/>
    <w:rsid w:val="0085691A"/>
    <w:rsid w:val="00891C63"/>
    <w:rsid w:val="008E4083"/>
    <w:rsid w:val="00936DB9"/>
    <w:rsid w:val="0094752A"/>
    <w:rsid w:val="00951AEC"/>
    <w:rsid w:val="009540C0"/>
    <w:rsid w:val="009608E8"/>
    <w:rsid w:val="009C013C"/>
    <w:rsid w:val="009F15CE"/>
    <w:rsid w:val="00A03DDE"/>
    <w:rsid w:val="00A31E6F"/>
    <w:rsid w:val="00A64C52"/>
    <w:rsid w:val="00A70597"/>
    <w:rsid w:val="00AB1C4C"/>
    <w:rsid w:val="00AC155E"/>
    <w:rsid w:val="00AC7F7E"/>
    <w:rsid w:val="00AF75A0"/>
    <w:rsid w:val="00B3247B"/>
    <w:rsid w:val="00B56E06"/>
    <w:rsid w:val="00B57746"/>
    <w:rsid w:val="00B657E5"/>
    <w:rsid w:val="00B664A1"/>
    <w:rsid w:val="00B846A8"/>
    <w:rsid w:val="00B84B82"/>
    <w:rsid w:val="00BD5E2D"/>
    <w:rsid w:val="00C31169"/>
    <w:rsid w:val="00C31BBA"/>
    <w:rsid w:val="00C455B7"/>
    <w:rsid w:val="00C56F27"/>
    <w:rsid w:val="00CB779A"/>
    <w:rsid w:val="00D258BE"/>
    <w:rsid w:val="00D425F8"/>
    <w:rsid w:val="00D43141"/>
    <w:rsid w:val="00D531E6"/>
    <w:rsid w:val="00D96E45"/>
    <w:rsid w:val="00DB3860"/>
    <w:rsid w:val="00DC6BDB"/>
    <w:rsid w:val="00DD3323"/>
    <w:rsid w:val="00E00CD6"/>
    <w:rsid w:val="00E115A9"/>
    <w:rsid w:val="00E13606"/>
    <w:rsid w:val="00E145F2"/>
    <w:rsid w:val="00E45264"/>
    <w:rsid w:val="00E57E0F"/>
    <w:rsid w:val="00E76277"/>
    <w:rsid w:val="00E84EA8"/>
    <w:rsid w:val="00E9189A"/>
    <w:rsid w:val="00E9231D"/>
    <w:rsid w:val="00EB3819"/>
    <w:rsid w:val="00ED2DA5"/>
    <w:rsid w:val="00EF0062"/>
    <w:rsid w:val="00F0112F"/>
    <w:rsid w:val="00F10BF2"/>
    <w:rsid w:val="00FE0BE8"/>
    <w:rsid w:val="00FE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CE6B7"/>
  <w15:docId w15:val="{BC6EDD66-33BD-4B60-963D-99F4081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69"/>
    <w:rPr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3141C1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3141C1"/>
    <w:rPr>
      <w:b/>
      <w:bCs/>
      <w:sz w:val="36"/>
      <w:szCs w:val="36"/>
    </w:rPr>
  </w:style>
  <w:style w:type="character" w:styleId="Textoennegrita">
    <w:name w:val="Strong"/>
    <w:uiPriority w:val="22"/>
    <w:qFormat/>
    <w:rsid w:val="003141C1"/>
    <w:rPr>
      <w:b/>
      <w:bCs/>
    </w:rPr>
  </w:style>
  <w:style w:type="paragraph" w:styleId="NormalWeb">
    <w:name w:val="Normal (Web)"/>
    <w:basedOn w:val="Normal"/>
    <w:uiPriority w:val="99"/>
    <w:unhideWhenUsed/>
    <w:rsid w:val="003141C1"/>
    <w:pPr>
      <w:spacing w:before="100" w:beforeAutospacing="1" w:after="100" w:afterAutospacing="1"/>
    </w:pPr>
    <w:rPr>
      <w:lang w:val="es-CL" w:eastAsia="es-CL"/>
    </w:rPr>
  </w:style>
  <w:style w:type="character" w:styleId="nfasis">
    <w:name w:val="Emphasis"/>
    <w:uiPriority w:val="20"/>
    <w:qFormat/>
    <w:rsid w:val="003141C1"/>
    <w:rPr>
      <w:i/>
      <w:iCs/>
    </w:rPr>
  </w:style>
  <w:style w:type="paragraph" w:styleId="Encabezado">
    <w:name w:val="header"/>
    <w:basedOn w:val="Normal"/>
    <w:link w:val="EncabezadoCar"/>
    <w:rsid w:val="00767D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7DA1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67D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A1"/>
    <w:rPr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224B5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2E76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E7607"/>
    <w:rPr>
      <w:rFonts w:ascii="Segoe UI" w:hAnsi="Segoe UI" w:cs="Segoe UI"/>
      <w:sz w:val="18"/>
      <w:szCs w:val="18"/>
      <w:lang w:val="es-ES_tradnl"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A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A04D2"/>
    <w:rPr>
      <w:rFonts w:ascii="Courier New" w:hAnsi="Courier New" w:cs="Courier New"/>
      <w:sz w:val="20"/>
      <w:szCs w:val="20"/>
    </w:rPr>
  </w:style>
  <w:style w:type="paragraph" w:styleId="Prrafodelista">
    <w:name w:val="List Paragraph"/>
    <w:basedOn w:val="Normal"/>
    <w:uiPriority w:val="99"/>
    <w:qFormat/>
    <w:rsid w:val="00EF0062"/>
    <w:pPr>
      <w:ind w:left="720"/>
      <w:contextualSpacing/>
    </w:pPr>
  </w:style>
  <w:style w:type="table" w:styleId="Tablaconcuadrcula">
    <w:name w:val="Table Grid"/>
    <w:basedOn w:val="Tablanormal"/>
    <w:rsid w:val="0035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5" Type="http://schemas.openxmlformats.org/officeDocument/2006/relationships/image" Target="media/image8.gi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D7EB-1461-49F7-B8B7-8DC784EB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Formas de representación de la tierra</vt:lpstr>
    </vt:vector>
  </TitlesOfParts>
  <Company>Windows uE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Formas de representación de la tierra</dc:title>
  <dc:creator>WinuE</dc:creator>
  <cp:lastModifiedBy>Rodrigo Jimenez</cp:lastModifiedBy>
  <cp:revision>8</cp:revision>
  <cp:lastPrinted>2017-11-10T23:33:00Z</cp:lastPrinted>
  <dcterms:created xsi:type="dcterms:W3CDTF">2021-04-11T04:34:00Z</dcterms:created>
  <dcterms:modified xsi:type="dcterms:W3CDTF">2021-04-29T02:35:00Z</dcterms:modified>
</cp:coreProperties>
</file>